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165D33" w:rsidRDefault="00AF29EF">
      <w:pPr>
        <w:rPr>
          <w:lang w:val="fr-FR"/>
        </w:rPr>
      </w:pPr>
      <w:r w:rsidRPr="00165D33">
        <w:rPr>
          <w:lang w:val="fr-FR"/>
        </w:rPr>
        <w:t>constructions verbale</w:t>
      </w:r>
      <w:r w:rsidR="00DC5B27" w:rsidRPr="00165D33">
        <w:rPr>
          <w:lang w:val="fr-FR"/>
        </w:rPr>
        <w:t xml:space="preserve">; </w:t>
      </w:r>
      <w:hyperlink r:id="rId5" w:history="1">
        <w:r w:rsidR="00DC5B27" w:rsidRPr="00165D33">
          <w:rPr>
            <w:rStyle w:val="Hyperlnk"/>
            <w:lang w:val="fr-FR"/>
          </w:rPr>
          <w:t>blanc</w:t>
        </w:r>
      </w:hyperlink>
      <w:r w:rsidR="00DC5B27" w:rsidRPr="00165D33">
        <w:rPr>
          <w:lang w:val="fr-FR"/>
        </w:rPr>
        <w:t xml:space="preserve">; </w:t>
      </w:r>
      <w:hyperlink r:id="rId6" w:history="1">
        <w:r w:rsidR="00DC5B27" w:rsidRPr="00165D33">
          <w:rPr>
            <w:rStyle w:val="Hyperlnk"/>
            <w:lang w:val="fr-FR"/>
          </w:rPr>
          <w:t>pdf</w:t>
        </w:r>
      </w:hyperlink>
      <w:r w:rsidR="00165D33" w:rsidRPr="00165D33">
        <w:rPr>
          <w:lang w:val="fr-FR"/>
        </w:rPr>
        <w:t xml:space="preserve">; </w:t>
      </w:r>
      <w:hyperlink r:id="rId7" w:history="1">
        <w:r w:rsidR="00165D33" w:rsidRPr="00165D33">
          <w:rPr>
            <w:rStyle w:val="Hyperlnk"/>
            <w:lang w:val="fr-FR"/>
          </w:rPr>
          <w:t>docx</w:t>
        </w:r>
      </w:hyperlink>
      <w:r w:rsidR="00165D33" w:rsidRPr="00165D33">
        <w:rPr>
          <w:lang w:val="fr-FR"/>
        </w:rP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18"/>
        <w:gridCol w:w="2065"/>
        <w:gridCol w:w="2120"/>
        <w:gridCol w:w="2051"/>
        <w:gridCol w:w="1852"/>
      </w:tblGrid>
      <w:tr w:rsidR="00DC5B27" w:rsidRPr="00DC5B27" w:rsidTr="00DC5B27">
        <w:tc>
          <w:tcPr>
            <w:tcW w:w="2118" w:type="dxa"/>
          </w:tcPr>
          <w:p w:rsidR="00DC5B27" w:rsidRPr="00DC5B27" w:rsidRDefault="00DC5B27">
            <w:r w:rsidRPr="00DC5B27">
              <w:t>réussir à faire qch</w:t>
            </w:r>
          </w:p>
        </w:tc>
        <w:tc>
          <w:tcPr>
            <w:tcW w:w="2065" w:type="dxa"/>
          </w:tcPr>
          <w:p w:rsidR="00DC5B27" w:rsidRPr="00DC5B27" w:rsidRDefault="00DC5B27">
            <w:r w:rsidRPr="00DC5B27">
              <w:t>refuser de</w:t>
            </w:r>
          </w:p>
        </w:tc>
        <w:tc>
          <w:tcPr>
            <w:tcW w:w="2120" w:type="dxa"/>
          </w:tcPr>
          <w:p w:rsidR="00DC5B27" w:rsidRPr="00DC5B27" w:rsidRDefault="00DC5B27">
            <w:r w:rsidRPr="00DC5B27">
              <w:t>ressembler à</w:t>
            </w:r>
          </w:p>
        </w:tc>
        <w:tc>
          <w:tcPr>
            <w:tcW w:w="2051" w:type="dxa"/>
          </w:tcPr>
          <w:p w:rsidR="00DC5B27" w:rsidRPr="00DC5B27" w:rsidRDefault="00DC5B27">
            <w:r w:rsidRPr="00DC5B27">
              <w:t>se souvenir de</w:t>
            </w:r>
          </w:p>
        </w:tc>
        <w:tc>
          <w:tcPr>
            <w:tcW w:w="1852" w:type="dxa"/>
          </w:tcPr>
          <w:p w:rsidR="00DC5B27" w:rsidRPr="00DC5B27" w:rsidRDefault="00DC5B27">
            <w:r w:rsidRPr="00DC5B27">
              <w:t>rappeler qch à qn</w:t>
            </w:r>
          </w:p>
        </w:tc>
      </w:tr>
      <w:tr w:rsidR="00DC5B27" w:rsidRPr="00DC5B27" w:rsidTr="00DC5B27">
        <w:tc>
          <w:tcPr>
            <w:tcW w:w="2118" w:type="dxa"/>
          </w:tcPr>
          <w:p w:rsidR="00DC5B27" w:rsidRPr="00DC5B27" w:rsidRDefault="00DC5B27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DC5B27" w:rsidRPr="00DC5B27" w:rsidRDefault="00DC5B27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</w:tcPr>
          <w:p w:rsidR="00DC5B27" w:rsidRPr="00DC5B27" w:rsidRDefault="00DC5B27">
            <w:pPr>
              <w:rPr>
                <w:sz w:val="14"/>
                <w:szCs w:val="14"/>
              </w:rPr>
            </w:pPr>
          </w:p>
        </w:tc>
        <w:tc>
          <w:tcPr>
            <w:tcW w:w="2051" w:type="dxa"/>
          </w:tcPr>
          <w:p w:rsidR="00DC5B27" w:rsidRPr="00DC5B27" w:rsidRDefault="00DC5B27">
            <w:pPr>
              <w:rPr>
                <w:sz w:val="14"/>
                <w:szCs w:val="14"/>
              </w:rPr>
            </w:pPr>
          </w:p>
        </w:tc>
        <w:tc>
          <w:tcPr>
            <w:tcW w:w="1852" w:type="dxa"/>
          </w:tcPr>
          <w:p w:rsidR="00DC5B27" w:rsidRPr="00DC5B27" w:rsidRDefault="00DC5B27">
            <w:pPr>
              <w:rPr>
                <w:sz w:val="14"/>
                <w:szCs w:val="14"/>
              </w:rPr>
            </w:pPr>
          </w:p>
        </w:tc>
      </w:tr>
      <w:tr w:rsidR="00DC5B27" w:rsidRPr="00DC5B27" w:rsidTr="00DC5B27">
        <w:tc>
          <w:tcPr>
            <w:tcW w:w="2118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aider qn à faire qch</w:t>
            </w:r>
          </w:p>
        </w:tc>
        <w:tc>
          <w:tcPr>
            <w:tcW w:w="2065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obéir à qn</w:t>
            </w:r>
          </w:p>
        </w:tc>
        <w:tc>
          <w:tcPr>
            <w:tcW w:w="2120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aimer qn</w:t>
            </w:r>
          </w:p>
        </w:tc>
        <w:tc>
          <w:tcPr>
            <w:tcW w:w="2051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répondre à qn</w:t>
            </w:r>
          </w:p>
        </w:tc>
        <w:tc>
          <w:tcPr>
            <w:tcW w:w="1852" w:type="dxa"/>
          </w:tcPr>
          <w:p w:rsidR="00DC5B27" w:rsidRPr="00DC5B27" w:rsidRDefault="00DC5B27" w:rsidP="00A416BE">
            <w:pPr>
              <w:rPr>
                <w:lang w:val="fr-FR"/>
              </w:rPr>
            </w:pPr>
            <w:r w:rsidRPr="00DC5B27">
              <w:rPr>
                <w:lang w:val="fr-FR"/>
              </w:rPr>
              <w:t>engueuler qn</w:t>
            </w:r>
          </w:p>
        </w:tc>
      </w:tr>
      <w:tr w:rsidR="00DC5B27" w:rsidRPr="00DC5B27" w:rsidTr="00DC5B27">
        <w:tc>
          <w:tcPr>
            <w:tcW w:w="2118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téléphoner à qn</w:t>
            </w:r>
          </w:p>
        </w:tc>
        <w:tc>
          <w:tcPr>
            <w:tcW w:w="2065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demander qch à qn</w:t>
            </w:r>
          </w:p>
        </w:tc>
        <w:tc>
          <w:tcPr>
            <w:tcW w:w="2120" w:type="dxa"/>
          </w:tcPr>
          <w:p w:rsidR="00DC5B27" w:rsidRPr="00DC5B27" w:rsidRDefault="00DC5B27" w:rsidP="001651EA">
            <w:pPr>
              <w:rPr>
                <w:lang w:val="fr-FR"/>
              </w:rPr>
            </w:pPr>
            <w:r w:rsidRPr="00DC5B27">
              <w:rPr>
                <w:lang w:val="fr-FR"/>
              </w:rPr>
              <w:t>rencontrer qn</w:t>
            </w:r>
          </w:p>
        </w:tc>
        <w:tc>
          <w:tcPr>
            <w:tcW w:w="2051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appeler qn</w:t>
            </w:r>
          </w:p>
        </w:tc>
        <w:tc>
          <w:tcPr>
            <w:tcW w:w="1852" w:type="dxa"/>
          </w:tcPr>
          <w:p w:rsidR="00DC5B27" w:rsidRPr="00DC5B27" w:rsidRDefault="00DC5B27" w:rsidP="00A416BE">
            <w:pPr>
              <w:rPr>
                <w:lang w:val="fr-FR"/>
              </w:rPr>
            </w:pPr>
            <w:r w:rsidRPr="00DC5B27">
              <w:rPr>
                <w:lang w:val="fr-FR"/>
              </w:rPr>
              <w:t>raconter qch à qn</w:t>
            </w:r>
          </w:p>
        </w:tc>
      </w:tr>
      <w:tr w:rsidR="00DC5B27" w:rsidRPr="00DC5B27" w:rsidTr="00DC5B27">
        <w:tc>
          <w:tcPr>
            <w:tcW w:w="2118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croire qn</w:t>
            </w:r>
          </w:p>
        </w:tc>
        <w:tc>
          <w:tcPr>
            <w:tcW w:w="2065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croire en qn</w:t>
            </w:r>
          </w:p>
        </w:tc>
        <w:tc>
          <w:tcPr>
            <w:tcW w:w="2120" w:type="dxa"/>
          </w:tcPr>
          <w:p w:rsidR="00DC5B27" w:rsidRPr="00DC5B27" w:rsidRDefault="00DC5B27">
            <w:pPr>
              <w:rPr>
                <w:lang w:val="fr-FR"/>
              </w:rPr>
            </w:pPr>
            <w:r w:rsidRPr="00DC5B27">
              <w:rPr>
                <w:lang w:val="fr-FR"/>
              </w:rPr>
              <w:t>croire à qch</w:t>
            </w:r>
          </w:p>
        </w:tc>
        <w:tc>
          <w:tcPr>
            <w:tcW w:w="2051" w:type="dxa"/>
          </w:tcPr>
          <w:p w:rsidR="00DC5B27" w:rsidRPr="00DC5B27" w:rsidRDefault="00DC5B27" w:rsidP="00BF2D94">
            <w:pPr>
              <w:rPr>
                <w:lang w:val="fr-FR"/>
              </w:rPr>
            </w:pPr>
            <w:r w:rsidRPr="00DC5B27">
              <w:rPr>
                <w:lang w:val="fr-FR"/>
              </w:rPr>
              <w:t>piquer qch à qn</w:t>
            </w:r>
          </w:p>
        </w:tc>
        <w:tc>
          <w:tcPr>
            <w:tcW w:w="1852" w:type="dxa"/>
          </w:tcPr>
          <w:p w:rsidR="00DC5B27" w:rsidRPr="00DC5B27" w:rsidRDefault="00DC5B27" w:rsidP="00BF2D94">
            <w:pPr>
              <w:rPr>
                <w:lang w:val="fr-FR"/>
              </w:rPr>
            </w:pPr>
            <w:r w:rsidRPr="00DC5B27">
              <w:rPr>
                <w:lang w:val="fr-FR"/>
              </w:rPr>
              <w:t>mentir à qn</w:t>
            </w:r>
          </w:p>
        </w:tc>
      </w:tr>
    </w:tbl>
    <w:p w:rsidR="00AF29EF" w:rsidRPr="00DC5B27" w:rsidRDefault="00AF29EF" w:rsidP="00DC5B27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hon hjälper sin mormor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hon hjälper henne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vi ringer till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vi ringer till honom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vi ringer Stefan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vi ringer honom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 w:rsidP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 frågar polisen om vägen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 frågar honom om vägen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eleverna lyder lärarna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eleverna lyder dem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läraren skäller ut sina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läraren skäller ut dem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Didrik svarar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Didrik svarar honom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Lova liknar min kusin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Lova liknar henne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hon begär ordet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hon begär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hon frågar sina föräldrar om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hon frågar dem om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ljuger Jonathan 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nej, jag tror honom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Stefan tror honom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Ella tror inte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hunden lydde sin husse (mästare)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hunden lydde honom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jag ringde Maja (t)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jag ringde henne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lastRenderedPageBreak/>
              <w:t>jag ringde Frida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jag ringde henne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Calle stal godis från Kalle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 w:rsidP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Calle stal godis från honom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Hannah glömde sin bror på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Hannah glömde honom på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Maija berättade hemligheten för eleverna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Maija berättade hemligheten för dem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Maija berättade den för eleverna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Maija berättade dem (dvs hemligheterna) för eleverna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 har ljugit för sina bröder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DC5B27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han har ljugit för dem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165D33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vi har träffat den kända skådespelerskan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 w:rsidP="006D1DD9">
            <w:pPr>
              <w:rPr>
                <w:sz w:val="36"/>
                <w:szCs w:val="36"/>
                <w:lang w:val="fr-FR"/>
              </w:rPr>
            </w:pPr>
          </w:p>
        </w:tc>
      </w:tr>
      <w:tr w:rsidR="00AD537E" w:rsidRPr="00DC5B27" w:rsidTr="00165D33">
        <w:tc>
          <w:tcPr>
            <w:tcW w:w="5103" w:type="dxa"/>
            <w:tcBorders>
              <w:right w:val="nil"/>
            </w:tcBorders>
          </w:tcPr>
          <w:p w:rsidR="00AD537E" w:rsidRPr="00DC5B27" w:rsidRDefault="00C67AF1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vi har träffat henne</w:t>
            </w:r>
          </w:p>
        </w:tc>
        <w:tc>
          <w:tcPr>
            <w:tcW w:w="5103" w:type="dxa"/>
            <w:tcBorders>
              <w:left w:val="nil"/>
            </w:tcBorders>
          </w:tcPr>
          <w:p w:rsidR="00AD537E" w:rsidRPr="00165D33" w:rsidRDefault="00AD537E">
            <w:pPr>
              <w:rPr>
                <w:sz w:val="36"/>
                <w:szCs w:val="36"/>
                <w:lang w:val="fr-FR"/>
              </w:rPr>
            </w:pPr>
          </w:p>
        </w:tc>
      </w:tr>
      <w:tr w:rsidR="00C67AF1" w:rsidRPr="00165D33" w:rsidTr="00165D33">
        <w:tc>
          <w:tcPr>
            <w:tcW w:w="5103" w:type="dxa"/>
            <w:tcBorders>
              <w:right w:val="nil"/>
            </w:tcBorders>
          </w:tcPr>
          <w:p w:rsidR="00C67AF1" w:rsidRPr="00DC5B27" w:rsidRDefault="00C67AF1" w:rsidP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jag ”gjorde” ett leende till den snygga tjejen på bussen</w:t>
            </w:r>
          </w:p>
        </w:tc>
        <w:tc>
          <w:tcPr>
            <w:tcW w:w="5103" w:type="dxa"/>
            <w:tcBorders>
              <w:left w:val="nil"/>
            </w:tcBorders>
          </w:tcPr>
          <w:p w:rsidR="00C67AF1" w:rsidRPr="00165D33" w:rsidRDefault="00C67AF1" w:rsidP="00C67AF1">
            <w:pPr>
              <w:rPr>
                <w:sz w:val="36"/>
                <w:szCs w:val="36"/>
                <w:lang w:val="fr-FR"/>
              </w:rPr>
            </w:pPr>
          </w:p>
        </w:tc>
      </w:tr>
      <w:tr w:rsidR="00C67AF1" w:rsidRPr="00165D33" w:rsidTr="00165D33">
        <w:tc>
          <w:tcPr>
            <w:tcW w:w="5103" w:type="dxa"/>
            <w:tcBorders>
              <w:right w:val="nil"/>
            </w:tcBorders>
          </w:tcPr>
          <w:p w:rsidR="00C67AF1" w:rsidRPr="00DC5B27" w:rsidRDefault="00C67AF1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jag « gjorde » henne ett leende</w:t>
            </w:r>
          </w:p>
        </w:tc>
        <w:tc>
          <w:tcPr>
            <w:tcW w:w="5103" w:type="dxa"/>
            <w:tcBorders>
              <w:left w:val="nil"/>
            </w:tcBorders>
          </w:tcPr>
          <w:p w:rsidR="00C67AF1" w:rsidRPr="00165D33" w:rsidRDefault="00C67AF1">
            <w:pPr>
              <w:rPr>
                <w:sz w:val="36"/>
                <w:szCs w:val="36"/>
                <w:lang w:val="fr-FR"/>
              </w:rPr>
            </w:pPr>
          </w:p>
        </w:tc>
      </w:tr>
      <w:tr w:rsidR="005B0500" w:rsidRPr="00165D33" w:rsidTr="00165D33">
        <w:tc>
          <w:tcPr>
            <w:tcW w:w="5103" w:type="dxa"/>
            <w:tcBorders>
              <w:right w:val="nil"/>
            </w:tcBorders>
          </w:tcPr>
          <w:p w:rsidR="005B0500" w:rsidRPr="00DC5B27" w:rsidRDefault="00F65585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hon minns sitt dåliga betyg</w:t>
            </w:r>
          </w:p>
        </w:tc>
        <w:tc>
          <w:tcPr>
            <w:tcW w:w="5103" w:type="dxa"/>
            <w:tcBorders>
              <w:left w:val="nil"/>
            </w:tcBorders>
          </w:tcPr>
          <w:p w:rsidR="005B0500" w:rsidRPr="00165D33" w:rsidRDefault="005B0500">
            <w:pPr>
              <w:rPr>
                <w:sz w:val="36"/>
                <w:szCs w:val="36"/>
                <w:lang w:val="fr-FR"/>
              </w:rPr>
            </w:pPr>
          </w:p>
        </w:tc>
      </w:tr>
      <w:tr w:rsidR="005B0500" w:rsidRPr="00DC5B27" w:rsidTr="00165D33">
        <w:tc>
          <w:tcPr>
            <w:tcW w:w="5103" w:type="dxa"/>
            <w:tcBorders>
              <w:right w:val="nil"/>
            </w:tcBorders>
          </w:tcPr>
          <w:p w:rsidR="005B0500" w:rsidRPr="00DC5B27" w:rsidRDefault="00F65585">
            <w:pPr>
              <w:rPr>
                <w:sz w:val="21"/>
                <w:szCs w:val="21"/>
                <w:lang w:val="fr-FR"/>
              </w:rPr>
            </w:pPr>
            <w:r w:rsidRPr="00DC5B27">
              <w:rPr>
                <w:sz w:val="21"/>
                <w:szCs w:val="21"/>
                <w:lang w:val="fr-FR"/>
              </w:rPr>
              <w:t>hon minns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5B0500" w:rsidRPr="00165D33" w:rsidRDefault="005B0500">
            <w:pPr>
              <w:rPr>
                <w:sz w:val="36"/>
                <w:szCs w:val="36"/>
                <w:lang w:val="fr-FR"/>
              </w:rPr>
            </w:pPr>
          </w:p>
        </w:tc>
      </w:tr>
      <w:tr w:rsidR="005B0500" w:rsidRPr="00165D33" w:rsidTr="00165D33">
        <w:tc>
          <w:tcPr>
            <w:tcW w:w="5103" w:type="dxa"/>
            <w:tcBorders>
              <w:right w:val="nil"/>
            </w:tcBorders>
          </w:tcPr>
          <w:p w:rsidR="005B0500" w:rsidRPr="00DC5B27" w:rsidRDefault="00F65585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polisen påminde bildåren om lagarna</w:t>
            </w:r>
          </w:p>
        </w:tc>
        <w:tc>
          <w:tcPr>
            <w:tcW w:w="5103" w:type="dxa"/>
            <w:tcBorders>
              <w:left w:val="nil"/>
            </w:tcBorders>
          </w:tcPr>
          <w:p w:rsidR="005B0500" w:rsidRPr="00165D33" w:rsidRDefault="005B0500">
            <w:pPr>
              <w:rPr>
                <w:sz w:val="36"/>
                <w:szCs w:val="36"/>
                <w:lang w:val="fr-FR"/>
              </w:rPr>
            </w:pPr>
          </w:p>
        </w:tc>
      </w:tr>
      <w:tr w:rsidR="00F65585" w:rsidRPr="00165D33" w:rsidTr="00165D33">
        <w:tc>
          <w:tcPr>
            <w:tcW w:w="5103" w:type="dxa"/>
            <w:tcBorders>
              <w:right w:val="nil"/>
            </w:tcBorders>
          </w:tcPr>
          <w:p w:rsidR="00F65585" w:rsidRPr="00DC5B27" w:rsidRDefault="00F65585">
            <w:pPr>
              <w:rPr>
                <w:sz w:val="21"/>
                <w:szCs w:val="21"/>
              </w:rPr>
            </w:pPr>
            <w:r w:rsidRPr="00DC5B27">
              <w:rPr>
                <w:sz w:val="21"/>
                <w:szCs w:val="21"/>
              </w:rPr>
              <w:t>polisen påminde honom om lagarna</w:t>
            </w:r>
          </w:p>
        </w:tc>
        <w:tc>
          <w:tcPr>
            <w:tcW w:w="5103" w:type="dxa"/>
            <w:tcBorders>
              <w:left w:val="nil"/>
            </w:tcBorders>
          </w:tcPr>
          <w:p w:rsidR="00F65585" w:rsidRPr="00165D33" w:rsidRDefault="00F65585">
            <w:pPr>
              <w:rPr>
                <w:sz w:val="36"/>
                <w:szCs w:val="36"/>
                <w:lang w:val="fr-FR"/>
              </w:rPr>
            </w:pPr>
          </w:p>
        </w:tc>
      </w:tr>
    </w:tbl>
    <w:p w:rsidR="00983AFD" w:rsidRPr="00DC5B27" w:rsidRDefault="00983AFD" w:rsidP="00983AFD">
      <w:pPr>
        <w:rPr>
          <w:lang w:val="fr-FR"/>
        </w:rPr>
      </w:pPr>
      <w:r w:rsidRPr="00DC5B27">
        <w:rPr>
          <w:lang w:val="fr-FR"/>
        </w:rPr>
        <w:t xml:space="preserve">6002 exercices oraux de la grammaire </w:t>
      </w:r>
    </w:p>
    <w:p w:rsidR="00983AFD" w:rsidRPr="00165D33" w:rsidRDefault="00983AFD" w:rsidP="00983AFD">
      <w:pPr>
        <w:rPr>
          <w:lang w:val="fr-FR"/>
        </w:rPr>
      </w:pPr>
      <w:r w:rsidRPr="00165D33">
        <w:rPr>
          <w:lang w:val="fr-FR"/>
        </w:rPr>
        <w:t xml:space="preserve">les  pronoms personnels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älskar dig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älskar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ser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känner Marcel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ser dina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hon tar smyckena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hon tar dem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har sett skådespelarna (jag såg)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har sett dem (jag såg dem)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har du tagit smyckena?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har du tagit de vackra lamporna?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tror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ni tror mig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tror(tycker) att han har ett problem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tror(tycker)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han tror att jag är dum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han tror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hon äter godis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hon äter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min bror bor i en stor villa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min bror bor där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ringer till polisen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ringer till dem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han minns dig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han minns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har lust att åka iväg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har lust med det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och du, har du också lust med det?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</w:tbl>
    <w:p w:rsidR="00983AFD" w:rsidRPr="00DC5B27" w:rsidRDefault="00983AFD" w:rsidP="00983AFD">
      <w:pPr>
        <w:rPr>
          <w:lang w:val="fr-FR"/>
        </w:rPr>
      </w:pPr>
    </w:p>
    <w:p w:rsidR="00DC5B27" w:rsidRPr="00DC5B27" w:rsidRDefault="00DC5B27" w:rsidP="00983AFD">
      <w:pPr>
        <w:rPr>
          <w:lang w:val="fr-FR"/>
        </w:rPr>
      </w:pPr>
    </w:p>
    <w:p w:rsidR="00DC5B27" w:rsidRPr="00DC5B27" w:rsidRDefault="00DC5B27" w:rsidP="00983AFD">
      <w:pPr>
        <w:rPr>
          <w:lang w:val="fr-FR"/>
        </w:rPr>
      </w:pPr>
    </w:p>
    <w:p w:rsidR="00DC5B27" w:rsidRPr="00DC5B27" w:rsidRDefault="00DC5B27" w:rsidP="00983AFD">
      <w:pPr>
        <w:rPr>
          <w:lang w:val="fr-FR"/>
        </w:rPr>
      </w:pPr>
    </w:p>
    <w:p w:rsidR="00983AFD" w:rsidRDefault="00983AFD" w:rsidP="00983AFD">
      <w:pPr>
        <w:rPr>
          <w:lang w:val="fr-FR"/>
        </w:rPr>
      </w:pPr>
    </w:p>
    <w:p w:rsidR="00DC5B27" w:rsidRDefault="00DC5B27" w:rsidP="00983AFD">
      <w:pPr>
        <w:rPr>
          <w:lang w:val="fr-FR"/>
        </w:rPr>
      </w:pPr>
    </w:p>
    <w:p w:rsidR="00DC5B27" w:rsidRDefault="00DC5B27" w:rsidP="00983AFD">
      <w:pPr>
        <w:rPr>
          <w:lang w:val="fr-FR"/>
        </w:rPr>
      </w:pPr>
    </w:p>
    <w:p w:rsidR="00DC5B27" w:rsidRDefault="00DC5B27" w:rsidP="00983AFD">
      <w:pPr>
        <w:rPr>
          <w:lang w:val="fr-FR"/>
        </w:rPr>
      </w:pPr>
    </w:p>
    <w:p w:rsidR="00DC5B27" w:rsidRPr="00DC5B27" w:rsidRDefault="00DC5B27" w:rsidP="00983AFD">
      <w:pPr>
        <w:rPr>
          <w:lang w:val="fr-FR"/>
        </w:rPr>
      </w:pPr>
    </w:p>
    <w:p w:rsidR="00983AFD" w:rsidRPr="00DC5B27" w:rsidRDefault="00983AFD" w:rsidP="00983AFD">
      <w:pPr>
        <w:rPr>
          <w:lang w:val="fr-FR"/>
        </w:rPr>
      </w:pPr>
    </w:p>
    <w:p w:rsidR="00165D33" w:rsidRDefault="00165D33" w:rsidP="00983AFD">
      <w:pPr>
        <w:rPr>
          <w:lang w:val="fr-FR"/>
        </w:rPr>
      </w:pPr>
    </w:p>
    <w:p w:rsidR="00983AFD" w:rsidRPr="00DC5B27" w:rsidRDefault="00983AFD" w:rsidP="00983AFD">
      <w:pPr>
        <w:rPr>
          <w:lang w:val="fr-FR"/>
        </w:rPr>
      </w:pPr>
      <w:r w:rsidRPr="00DC5B27">
        <w:rPr>
          <w:lang w:val="fr-FR"/>
        </w:rPr>
        <w:t>les pronoms personnels (je ne m’en suis rendu compte, j’y vis)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 xml:space="preserve">je vis dans un appartement 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je me rends compte du vol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il se souvient du braquage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je me suis sentie en sécurité dans ma maison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vous parlez du problème?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 xml:space="preserve">je n’avais pas envie d’aller dîner chez des amis 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tu as envie de venir avec moi?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stör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störde dem inte (detta hade inte stört dem)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je n’arrive pas à passer à autre chose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je n’ai pas vu les cambrioleurs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går inte att göra något åt det (ingenting hjälper)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 rörde mig inte (de har inte rört mig)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5103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fr-FR"/>
              </w:rPr>
            </w:pPr>
            <w:r w:rsidRPr="00DC5B27">
              <w:rPr>
                <w:lang w:val="fr-FR"/>
              </w:rPr>
              <w:t>si j’avais surpris les voleurs</w:t>
            </w:r>
          </w:p>
        </w:tc>
        <w:tc>
          <w:tcPr>
            <w:tcW w:w="5103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</w:tbl>
    <w:p w:rsidR="00983AFD" w:rsidRPr="00DC5B27" w:rsidRDefault="00983AFD" w:rsidP="00983AFD">
      <w:pPr>
        <w:pStyle w:val="Ingetavstnd"/>
        <w:rPr>
          <w:lang w:val="fr-FR"/>
        </w:rPr>
      </w:pPr>
    </w:p>
    <w:p w:rsidR="00983AFD" w:rsidRPr="00DC5B27" w:rsidRDefault="00983AFD" w:rsidP="00983AFD">
      <w:pPr>
        <w:pStyle w:val="Ingetavstnd"/>
        <w:rPr>
          <w:lang w:val="en-US"/>
        </w:rPr>
      </w:pPr>
      <w:r w:rsidRPr="00DC5B27">
        <w:rPr>
          <w:lang w:val="en-US"/>
        </w:rPr>
        <w:t>phrases et expressions diverses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420"/>
      </w:tblGrid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en morgon då han åt frukost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  <w:bookmarkStart w:id="0" w:name="_GoBack"/>
            <w:bookmarkEnd w:id="0"/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en dag då jag städade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en kväll då hon tittade på teve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ringde telefonen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började det regna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fick jag plötsligt ont i ryggen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skulle aldrig ha tänkt/trott att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var i en period då jag arbetade enormt mycket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är rädd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är förbannad, ilsken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är förbannad att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skulle vilja ta sakerna med lätthet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förgäves ha gjort någonting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han arbetade förgäves hela natten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det skulle ha kunnat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kort tid därefter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ta tid att, ta sig tid att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han tog sig tid att läsa boken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hon hade tagit sig tid att diska ordentligt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trodde jag skulle få en hjärtattack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tror att jag skulle ha varit chockad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traumat är djupt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skadan är mycket djup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är en fråga som spökar, som jag är fixerad vid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genom inbrott, genom att bryta sig in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pPr>
              <w:rPr>
                <w:lang w:val="en-US"/>
              </w:rPr>
            </w:pPr>
            <w:r w:rsidRPr="00DC5B27">
              <w:rPr>
                <w:lang w:val="en-US"/>
              </w:rPr>
              <w:t>jag satte på musik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 tog (har tagit) smycken, pengar, kläder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 hade tagit pengarna i min väska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saknas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saknades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</w:rPr>
            </w:pPr>
          </w:p>
        </w:tc>
      </w:tr>
      <w:tr w:rsidR="00983AFD" w:rsidRPr="00165D33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det saknades massor av saker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fr-FR"/>
              </w:rPr>
            </w:pPr>
          </w:p>
        </w:tc>
      </w:tr>
      <w:tr w:rsidR="00983AFD" w:rsidRPr="00DC5B27" w:rsidTr="00165D33">
        <w:tc>
          <w:tcPr>
            <w:tcW w:w="4786" w:type="dxa"/>
            <w:tcBorders>
              <w:right w:val="nil"/>
            </w:tcBorders>
          </w:tcPr>
          <w:p w:rsidR="00983AFD" w:rsidRPr="00DC5B27" w:rsidRDefault="00983AFD" w:rsidP="00561399">
            <w:r w:rsidRPr="00DC5B27">
              <w:t>jag kan inte göra något åt det</w:t>
            </w:r>
          </w:p>
        </w:tc>
        <w:tc>
          <w:tcPr>
            <w:tcW w:w="5420" w:type="dxa"/>
            <w:tcBorders>
              <w:left w:val="nil"/>
            </w:tcBorders>
          </w:tcPr>
          <w:p w:rsidR="00983AFD" w:rsidRPr="00165D33" w:rsidRDefault="00983AFD" w:rsidP="00561399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983AFD" w:rsidRPr="00DC5B27" w:rsidRDefault="00983AFD" w:rsidP="00983AFD">
      <w:pPr>
        <w:rPr>
          <w:lang w:val="en-US"/>
        </w:rPr>
      </w:pPr>
    </w:p>
    <w:p w:rsidR="00983AFD" w:rsidRPr="00DC5B27" w:rsidRDefault="00983AFD" w:rsidP="00983AFD">
      <w:pPr>
        <w:rPr>
          <w:lang w:val="en-US"/>
        </w:rPr>
      </w:pP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(« tout court »)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</w:t>
      </w:r>
      <w:r w:rsidRPr="00DC5B27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‘ Je crois.’ ==&gt; Signifie : ‘ Je pense que oui, je suis d’accord.’ mais également ‘ Je suis croyant.’ (d’un point de vue purement religieux)</w:t>
      </w: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que…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</w:t>
      </w:r>
      <w:r w:rsidRPr="00DC5B27">
        <w:rPr>
          <w:rFonts w:asciiTheme="minorHAnsi" w:hAnsiTheme="minorHAnsi"/>
          <w:color w:val="FF0000"/>
          <w:sz w:val="17"/>
          <w:szCs w:val="17"/>
          <w:lang w:val="fr-FR"/>
        </w:rPr>
        <w:t>1 -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Son utilisation suppose, avec l’emploi de l’indicatif, que l’on admette la certitude. </w:t>
      </w:r>
      <w:r w:rsidRPr="00DC5B27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DC5B27">
        <w:rPr>
          <w:rFonts w:asciiTheme="minorHAnsi" w:hAnsiTheme="minorHAnsi"/>
          <w:color w:val="006600"/>
          <w:sz w:val="17"/>
          <w:szCs w:val="17"/>
          <w:lang w:val="fr-FR"/>
        </w:rPr>
        <w:t> 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‘ Je crois qu’il est l’heure de partir.’ ==&gt; Cela signifie : ‘ Je suis certain(e) qu’il est l’heure de partir.’</w:t>
      </w:r>
      <w:r w:rsidRPr="00DC5B27">
        <w:rPr>
          <w:rFonts w:asciiTheme="minorHAnsi" w:hAnsiTheme="minorHAnsi"/>
          <w:color w:val="FF3300"/>
          <w:sz w:val="17"/>
          <w:szCs w:val="17"/>
          <w:lang w:val="fr-FR"/>
        </w:rPr>
        <w:t> 2 -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Son utilisation, avec l’emploi du subjonctif, suppose le doute voire même le caractère quasi impossible. </w:t>
      </w:r>
      <w:r w:rsidRPr="00DC5B27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‘ Croyez-vous qu’il vienne à cette soirée ? ‘ ==&gt; Cela signifie : ‘ Êtes-vous sûr qu’il vienne ? ‘ (supposant qu’il ne va pas venir).</w:t>
      </w: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quelqu’un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cela signifie que l’on a confiance en ce que cette personne nous dit, que l’on ne remet pas sa parole en doute. </w:t>
      </w:r>
      <w:r w:rsidRPr="00DC5B27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‘ Tu me dis que tu es informaticien, je te crois. ‘</w:t>
      </w: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en quelqu’un (ou quelque  chose)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cela signifie que l’on a confiance en la personne ou la chose dans sa globalité, on ne la remet pas en doute, on s’y fie. </w:t>
      </w:r>
      <w:r w:rsidRPr="00DC5B27">
        <w:rPr>
          <w:rStyle w:val="Betoning"/>
          <w:rFonts w:asciiTheme="minorHAnsi" w:hAnsiTheme="minorHAnsi"/>
          <w:color w:val="006600"/>
          <w:sz w:val="17"/>
          <w:szCs w:val="17"/>
          <w:lang w:val="fr-FR"/>
        </w:rPr>
        <w:t>Exemple :</w:t>
      </w:r>
      <w:r w:rsidRPr="00DC5B27">
        <w:rPr>
          <w:rFonts w:asciiTheme="minorHAnsi" w:hAnsiTheme="minorHAnsi"/>
          <w:color w:val="006600"/>
          <w:sz w:val="17"/>
          <w:szCs w:val="17"/>
          <w:lang w:val="fr-FR"/>
        </w:rPr>
        <w:t> 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‘ Je crois en vous, et je sais que vous allez y arriver. ‘</w:t>
      </w: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à une chose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on utilise ‘ croire à.. ‘ dans les cas suivants : croire à l’astrologie, à la voyance (ce sont des exemples non limitatifs). On s’y fie, on a foi en l’efficacité de ce auquel on croit.</w:t>
      </w:r>
    </w:p>
    <w:p w:rsidR="00561399" w:rsidRPr="00DC5B27" w:rsidRDefault="00561399" w:rsidP="00561399">
      <w:pPr>
        <w:pStyle w:val="Normalwebb"/>
        <w:shd w:val="clear" w:color="auto" w:fill="FFFFFF"/>
        <w:spacing w:before="120" w:beforeAutospacing="0" w:after="240" w:afterAutospacing="0"/>
        <w:rPr>
          <w:rFonts w:asciiTheme="minorHAnsi" w:hAnsiTheme="minorHAnsi"/>
          <w:color w:val="555558"/>
          <w:sz w:val="17"/>
          <w:szCs w:val="17"/>
          <w:lang w:val="fr-FR"/>
        </w:rPr>
      </w:pPr>
      <w:r w:rsidRPr="00DC5B27">
        <w:rPr>
          <w:rStyle w:val="Stark"/>
          <w:rFonts w:asciiTheme="minorHAnsi" w:hAnsiTheme="minorHAnsi"/>
          <w:color w:val="555558"/>
          <w:sz w:val="17"/>
          <w:szCs w:val="17"/>
          <w:u w:val="single"/>
          <w:lang w:val="fr-FR"/>
        </w:rPr>
        <w:t>Croire à quelqu’un</w:t>
      </w:r>
      <w:r w:rsidRPr="00DC5B27">
        <w:rPr>
          <w:rStyle w:val="Stark"/>
          <w:rFonts w:asciiTheme="minorHAnsi" w:hAnsiTheme="minorHAnsi"/>
          <w:color w:val="555558"/>
          <w:sz w:val="17"/>
          <w:szCs w:val="17"/>
          <w:lang w:val="fr-FR"/>
        </w:rPr>
        <w:t> :</w:t>
      </w:r>
      <w:r w:rsidRPr="00DC5B27">
        <w:rPr>
          <w:rFonts w:asciiTheme="minorHAnsi" w:hAnsiTheme="minorHAnsi"/>
          <w:color w:val="555558"/>
          <w:sz w:val="17"/>
          <w:szCs w:val="17"/>
          <w:lang w:val="fr-FR"/>
        </w:rPr>
        <w:t> même cas de figure mais pour des personnes ==&gt; croire aux astrologues, aux voyants.</w:t>
      </w:r>
    </w:p>
    <w:p w:rsidR="00584A08" w:rsidRPr="00DC5B27" w:rsidRDefault="00584A08">
      <w:pPr>
        <w:rPr>
          <w:lang w:val="fr-FR"/>
        </w:rPr>
      </w:pPr>
    </w:p>
    <w:p w:rsidR="00584A08" w:rsidRPr="00DC5B27" w:rsidRDefault="00584A08" w:rsidP="00584A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val="fr-FR" w:eastAsia="sv-SE"/>
        </w:rPr>
      </w:pPr>
      <w:r w:rsidRPr="00DC5B27">
        <w:rPr>
          <w:rFonts w:eastAsia="Times New Roman" w:cs="Times New Roman"/>
          <w:b/>
          <w:bCs/>
          <w:color w:val="FF9900"/>
          <w:kern w:val="36"/>
          <w:sz w:val="48"/>
          <w:szCs w:val="48"/>
          <w:lang w:val="fr-FR" w:eastAsia="sv-SE"/>
        </w:rPr>
        <w:t>Verbes et prépositions</w:t>
      </w:r>
    </w:p>
    <w:tbl>
      <w:tblPr>
        <w:tblW w:w="6804" w:type="dxa"/>
        <w:jc w:val="center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869"/>
        <w:gridCol w:w="1691"/>
        <w:gridCol w:w="1580"/>
      </w:tblGrid>
      <w:tr w:rsidR="00584A08" w:rsidRPr="00165D33" w:rsidTr="00584A08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584A08" w:rsidRPr="00DC5B27" w:rsidRDefault="00584A08" w:rsidP="00DC5B2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fr-CA" w:eastAsia="sv-SE"/>
              </w:rPr>
              <w:t>Verbes suivis directement de l'infinitif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adorer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descendre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laisser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rentrer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affirmer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désirer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monter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retourner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aimer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détester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nier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revenir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aller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devoir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user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savoir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apercevoir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écouter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paraître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sembler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assurer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emmener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partir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sentir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avoir beau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entendre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penser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sortir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avouer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entrer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pouvoir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souhaiter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compter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envoyer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préférer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venir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courir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espérer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prétendre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voir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croire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faillir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rappeler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vouloir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daigner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faire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reconnaître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déclarer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falloir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regarder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</w:tr>
      <w:tr w:rsidR="00584A08" w:rsidRPr="00165D33" w:rsidTr="00584A08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584A08" w:rsidRPr="00DC5B27" w:rsidRDefault="00584A08" w:rsidP="00DC5B2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fr-CA" w:eastAsia="sv-SE"/>
              </w:rPr>
              <w:t>Verbes suivis de la préposition </w:t>
            </w:r>
            <w:r w:rsidRPr="00DC5B27"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24"/>
                <w:szCs w:val="24"/>
                <w:lang w:val="fr-CA" w:eastAsia="sv-SE"/>
              </w:rPr>
              <w:t>à</w:t>
            </w:r>
            <w:r w:rsidRPr="00DC5B27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fr-CA" w:eastAsia="sv-SE"/>
              </w:rPr>
              <w:t> devant l'infinitif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s'accoutumer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conduire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forcer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pousser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consentir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s'habituer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préparer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amener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hésiter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renoncer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continuer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inciter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résoudre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s'appliquer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s'intéresser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rester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apprendre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inviter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réussir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arriver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employer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jouer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servir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encourager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mettre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songer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autoriser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s'engager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obliger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surprendre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avoir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enseigner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parvenir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tarder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chercher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s'essayer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penser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tenir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commencer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être décidé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persister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travailler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condamner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s'exercer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parvenir à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  <w:t> </w:t>
            </w:r>
          </w:p>
        </w:tc>
      </w:tr>
      <w:tr w:rsidR="00584A08" w:rsidRPr="00165D33" w:rsidTr="00584A08">
        <w:trPr>
          <w:tblCellSpacing w:w="30" w:type="dxa"/>
          <w:jc w:val="center"/>
        </w:trPr>
        <w:tc>
          <w:tcPr>
            <w:tcW w:w="0" w:type="auto"/>
            <w:gridSpan w:val="4"/>
            <w:shd w:val="clear" w:color="auto" w:fill="FFE7CE"/>
            <w:hideMark/>
          </w:tcPr>
          <w:p w:rsidR="00584A08" w:rsidRPr="00DC5B27" w:rsidRDefault="00584A08" w:rsidP="00DC5B2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fr-CA" w:eastAsia="sv-SE"/>
              </w:rPr>
              <w:t>Verbes suivis de la préposition </w:t>
            </w:r>
            <w:r w:rsidRPr="00DC5B27"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24"/>
                <w:szCs w:val="24"/>
                <w:lang w:val="fr-CA" w:eastAsia="sv-SE"/>
              </w:rPr>
              <w:t>de</w:t>
            </w:r>
            <w:r w:rsidR="00DC5B27" w:rsidRPr="00DC5B27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fr-CA" w:eastAsia="sv-SE"/>
              </w:rPr>
              <w:t> devant l'infinitif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s’abstenir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dépêcher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hâter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prier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accepter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désespérer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interdire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promettre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accuser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jurer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proposes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achever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douter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lasser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punir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s'agir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écrire de*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manquer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rappeler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(s’) arrêter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s’efforcer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menacer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refuser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attendre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empêcher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mériter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regretter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blâmer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s'empresser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mourir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remercier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essayer de,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négliger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reprocher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choisir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s'étonner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obliger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résoudre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commander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être obligé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s'occuper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rêver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commencer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éviter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offrir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rire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conseiller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(s')excuser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oublier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risquer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continuer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faire exprès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pardonner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souffrir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convaincre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faire semblant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permettre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soupçonner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craindre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fatiguer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persuader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souvenir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décider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(se) féliciter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plaindre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suggérer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défendre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finir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prendre soin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tâcher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demander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garder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se presser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000000" w:themeColor="text1"/>
                <w:sz w:val="20"/>
                <w:szCs w:val="20"/>
                <w:lang w:val="fr-CA" w:eastAsia="sv-SE"/>
              </w:rPr>
              <w:t>tenter de</w:t>
            </w:r>
          </w:p>
        </w:tc>
      </w:tr>
    </w:tbl>
    <w:p w:rsidR="00584A08" w:rsidRPr="00DC5B27" w:rsidRDefault="00584A08" w:rsidP="00584A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</w:pPr>
      <w:r w:rsidRPr="00DC5B27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Verbes suivis d'un nom</w:t>
      </w:r>
    </w:p>
    <w:tbl>
      <w:tblPr>
        <w:tblW w:w="7716" w:type="dxa"/>
        <w:jc w:val="center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81"/>
        <w:gridCol w:w="2539"/>
      </w:tblGrid>
      <w:tr w:rsidR="00584A08" w:rsidRPr="00165D33" w:rsidTr="00584A08">
        <w:trPr>
          <w:tblCellSpacing w:w="30" w:type="dxa"/>
          <w:jc w:val="center"/>
        </w:trPr>
        <w:tc>
          <w:tcPr>
            <w:tcW w:w="0" w:type="auto"/>
            <w:shd w:val="clear" w:color="auto" w:fill="FFE7CE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sz w:val="24"/>
                <w:szCs w:val="24"/>
                <w:lang w:val="fr-CA" w:eastAsia="sv-SE"/>
              </w:rPr>
              <w:t>Verbes suivis d'un complément d'objet direct (sans préposition)</w:t>
            </w:r>
          </w:p>
        </w:tc>
        <w:tc>
          <w:tcPr>
            <w:tcW w:w="0" w:type="auto"/>
            <w:shd w:val="clear" w:color="auto" w:fill="FFE7CE"/>
            <w:hideMark/>
          </w:tcPr>
          <w:p w:rsidR="00584A08" w:rsidRPr="00DC5B27" w:rsidRDefault="00584A08" w:rsidP="00584A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sz w:val="24"/>
                <w:szCs w:val="24"/>
                <w:lang w:val="fr-CA" w:eastAsia="sv-SE"/>
              </w:rPr>
              <w:t>Verbes suivis d'un complément d'objet indirect introduit par </w:t>
            </w:r>
            <w:r w:rsidRPr="00DC5B27">
              <w:rPr>
                <w:rFonts w:eastAsia="Times New Roman" w:cs="Arial"/>
                <w:b/>
                <w:bCs/>
                <w:i/>
                <w:iCs/>
                <w:color w:val="FF0000"/>
                <w:sz w:val="24"/>
                <w:szCs w:val="24"/>
                <w:lang w:val="fr-CA" w:eastAsia="sv-SE"/>
              </w:rPr>
              <w:t>à</w:t>
            </w:r>
          </w:p>
        </w:tc>
        <w:tc>
          <w:tcPr>
            <w:tcW w:w="0" w:type="auto"/>
            <w:shd w:val="clear" w:color="auto" w:fill="FFE7CE"/>
            <w:hideMark/>
          </w:tcPr>
          <w:p w:rsidR="00584A08" w:rsidRPr="00DC5B27" w:rsidRDefault="00584A08" w:rsidP="00584A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sz w:val="24"/>
                <w:szCs w:val="24"/>
                <w:lang w:val="fr-CA" w:eastAsia="sv-SE"/>
              </w:rPr>
              <w:t>Verbes suivis d'un complément d'objet indirect introduit par </w:t>
            </w:r>
            <w:r w:rsidRPr="00DC5B27">
              <w:rPr>
                <w:rFonts w:eastAsia="Times New Roman" w:cs="Arial"/>
                <w:b/>
                <w:bCs/>
                <w:i/>
                <w:iCs/>
                <w:color w:val="FF0000"/>
                <w:sz w:val="24"/>
                <w:szCs w:val="24"/>
                <w:lang w:val="fr-CA" w:eastAsia="sv-SE"/>
              </w:rPr>
              <w:t>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approuver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s'adresser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attendre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chercher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dépendre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FR" w:eastAsia="sv-SE"/>
              </w:rPr>
              <w:t>écouter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jouer à </w:t>
            </w:r>
            <w:r w:rsidRPr="00DC5B27">
              <w:rPr>
                <w:rFonts w:eastAsia="Times New Roman" w:cs="Arial"/>
                <w:sz w:val="15"/>
                <w:szCs w:val="15"/>
                <w:lang w:eastAsia="sv-SE"/>
              </w:rPr>
              <w:t>(un jeu)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jouer de </w:t>
            </w:r>
            <w:r w:rsidRPr="00DC5B27">
              <w:rPr>
                <w:rFonts w:eastAsia="Times New Roman" w:cs="Arial"/>
                <w:sz w:val="15"/>
                <w:szCs w:val="15"/>
                <w:lang w:eastAsia="sv-SE"/>
              </w:rPr>
              <w:t>(un instrument)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FR" w:eastAsia="sv-SE"/>
              </w:rPr>
              <w:t>espérer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s'opposer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manquer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payer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passer du temps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se servir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pleurer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se souvenir de</w:t>
            </w: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val="fr-CA" w:eastAsia="sv-SE"/>
              </w:rPr>
              <w:t>regarder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renoncer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réussir</w:t>
            </w:r>
            <w:r w:rsidRPr="00DC5B27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  <w:r w:rsidRPr="00DC5B27">
              <w:rPr>
                <w:rFonts w:eastAsia="Times New Roman" w:cs="Arial"/>
                <w:sz w:val="15"/>
                <w:szCs w:val="15"/>
                <w:lang w:val="fr-CA" w:eastAsia="sv-SE"/>
              </w:rPr>
              <w:t>(quelque chose)</w:t>
            </w: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répondre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ressembler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servir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584A08" w:rsidRPr="00DC5B27" w:rsidTr="00584A08">
        <w:trPr>
          <w:tblCellSpacing w:w="30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DC5B27">
              <w:rPr>
                <w:rFonts w:eastAsia="Times New Roman" w:cs="Arial"/>
                <w:color w:val="FF9900"/>
                <w:sz w:val="20"/>
                <w:szCs w:val="20"/>
                <w:lang w:eastAsia="sv-SE"/>
              </w:rPr>
              <w:t>téléphoner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584A08" w:rsidRPr="00DC5B27" w:rsidRDefault="00584A08" w:rsidP="00584A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584A08" w:rsidRPr="00DC5B27" w:rsidRDefault="00584A08">
      <w:pPr>
        <w:rPr>
          <w:lang w:val="fr-FR"/>
        </w:rPr>
      </w:pPr>
    </w:p>
    <w:p w:rsidR="008E04D2" w:rsidRDefault="008E04D2">
      <w:pPr>
        <w:rPr>
          <w:lang w:val="fr-FR"/>
        </w:rPr>
      </w:pPr>
    </w:p>
    <w:p w:rsidR="00DC5B27" w:rsidRDefault="00DC5B27">
      <w:pPr>
        <w:rPr>
          <w:lang w:val="fr-FR"/>
        </w:rPr>
      </w:pPr>
    </w:p>
    <w:p w:rsidR="00DC5B27" w:rsidRDefault="00DC5B27">
      <w:pPr>
        <w:rPr>
          <w:lang w:val="fr-FR"/>
        </w:rPr>
      </w:pPr>
    </w:p>
    <w:p w:rsidR="00DC5B27" w:rsidRDefault="00DC5B27">
      <w:pPr>
        <w:rPr>
          <w:lang w:val="fr-FR"/>
        </w:rPr>
      </w:pPr>
    </w:p>
    <w:p w:rsidR="00DC5B27" w:rsidRPr="00DC5B27" w:rsidRDefault="00DC5B27">
      <w:pPr>
        <w:rPr>
          <w:lang w:val="fr-FR"/>
        </w:rPr>
      </w:pPr>
    </w:p>
    <w:tbl>
      <w:tblPr>
        <w:tblW w:w="1533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450"/>
        <w:gridCol w:w="11052"/>
      </w:tblGrid>
      <w:tr w:rsidR="008E04D2" w:rsidRPr="00165D33" w:rsidTr="008E04D2">
        <w:trPr>
          <w:tblCellSpacing w:w="0" w:type="dxa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appartenir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Cette bague appartenait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mon arrière-grand-mère.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faire attention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Nous n'avons pas fait attention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cela.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faire confiance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Je fais confiance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Martine.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faire référence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Vous faites référence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ce livre.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jouer à 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Il joue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quelque chose de dangereux.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manquer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Il manque beaucoup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ses amis.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obéir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Ce chien obéit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tout le monde, sauf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son maître !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penser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Il pense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son avenir.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plaire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Cette histoire va beaucoup plaire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mon frère.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réfléchir à 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Vous avez bien réfléchi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votre projet.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s'associer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Je m'associe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votre combat.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s'attendre à 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Je ne m'attendais pas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cette réponse.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s'habituer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Elle s'habitue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sa nouvelle vie.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s'intéresser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Il s'intéresse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cet écrivain.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s'opposer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Il s'oppose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ce changement.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téléphoner à qn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Elle téléphone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ses amis.</w:t>
            </w:r>
          </w:p>
        </w:tc>
      </w:tr>
      <w:tr w:rsidR="008E04D2" w:rsidRPr="00165D33" w:rsidTr="008E04D2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tenir à qn/qch</w:t>
            </w:r>
          </w:p>
        </w:tc>
        <w:tc>
          <w:tcPr>
            <w:tcW w:w="450" w:type="dxa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8E04D2" w:rsidRPr="00DC5B27" w:rsidRDefault="008E04D2" w:rsidP="008E04D2">
            <w:pPr>
              <w:spacing w:after="0" w:line="480" w:lineRule="atLeast"/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</w:pP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Elle tient </w:t>
            </w:r>
            <w:r w:rsidRPr="00DC5B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 w:eastAsia="sv-SE"/>
              </w:rPr>
              <w:t>à</w:t>
            </w:r>
            <w:r w:rsidRPr="00DC5B27">
              <w:rPr>
                <w:rFonts w:eastAsia="Times New Roman" w:cs="Times New Roman"/>
                <w:color w:val="000000"/>
                <w:sz w:val="26"/>
                <w:szCs w:val="26"/>
                <w:lang w:val="fr-FR" w:eastAsia="sv-SE"/>
              </w:rPr>
              <w:t> son indépendance.</w:t>
            </w:r>
          </w:p>
        </w:tc>
      </w:tr>
    </w:tbl>
    <w:p w:rsidR="008E04D2" w:rsidRPr="00DC5B27" w:rsidRDefault="008E04D2">
      <w:pPr>
        <w:rPr>
          <w:lang w:val="fr-FR"/>
        </w:rPr>
      </w:pPr>
    </w:p>
    <w:sectPr w:rsidR="008E04D2" w:rsidRPr="00DC5B27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EF"/>
    <w:rsid w:val="000949B3"/>
    <w:rsid w:val="000C537D"/>
    <w:rsid w:val="00132FE5"/>
    <w:rsid w:val="00165D33"/>
    <w:rsid w:val="00180761"/>
    <w:rsid w:val="001C2114"/>
    <w:rsid w:val="00287E2F"/>
    <w:rsid w:val="003E522A"/>
    <w:rsid w:val="004E4EE1"/>
    <w:rsid w:val="005414A9"/>
    <w:rsid w:val="00561399"/>
    <w:rsid w:val="00584A08"/>
    <w:rsid w:val="005B0500"/>
    <w:rsid w:val="006D1DD9"/>
    <w:rsid w:val="00811246"/>
    <w:rsid w:val="008E04D2"/>
    <w:rsid w:val="00966128"/>
    <w:rsid w:val="00983AFD"/>
    <w:rsid w:val="00A05CDC"/>
    <w:rsid w:val="00AD537E"/>
    <w:rsid w:val="00AF29EF"/>
    <w:rsid w:val="00C67AF1"/>
    <w:rsid w:val="00CB7B56"/>
    <w:rsid w:val="00D4687D"/>
    <w:rsid w:val="00DC5B27"/>
    <w:rsid w:val="00E35841"/>
    <w:rsid w:val="00E35F95"/>
    <w:rsid w:val="00E62C84"/>
    <w:rsid w:val="00E76082"/>
    <w:rsid w:val="00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84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84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84A0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84A0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omnipage1">
    <w:name w:val="omnipage1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nipage2">
    <w:name w:val="omnipage2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nipage3">
    <w:name w:val="omnipage3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E04D2"/>
    <w:rPr>
      <w:b/>
      <w:bCs/>
    </w:rPr>
  </w:style>
  <w:style w:type="character" w:customStyle="1" w:styleId="coi">
    <w:name w:val="coi"/>
    <w:basedOn w:val="Standardstycketeckensnitt"/>
    <w:rsid w:val="008E04D2"/>
  </w:style>
  <w:style w:type="paragraph" w:styleId="Ingetavstnd">
    <w:name w:val="No Spacing"/>
    <w:uiPriority w:val="1"/>
    <w:qFormat/>
    <w:rsid w:val="00983AFD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6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6139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65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84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84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84A0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84A0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omnipage1">
    <w:name w:val="omnipage1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nipage2">
    <w:name w:val="omnipage2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mnipage3">
    <w:name w:val="omnipage3"/>
    <w:basedOn w:val="Normal"/>
    <w:rsid w:val="005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E04D2"/>
    <w:rPr>
      <w:b/>
      <w:bCs/>
    </w:rPr>
  </w:style>
  <w:style w:type="character" w:customStyle="1" w:styleId="coi">
    <w:name w:val="coi"/>
    <w:basedOn w:val="Standardstycketeckensnitt"/>
    <w:rsid w:val="008E04D2"/>
  </w:style>
  <w:style w:type="paragraph" w:styleId="Ingetavstnd">
    <w:name w:val="No Spacing"/>
    <w:uiPriority w:val="1"/>
    <w:qFormat/>
    <w:rsid w:val="00983AFD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6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6139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6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stadefrancais/constructionsverbale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stadefrancais/constructionsverbale1.pdf" TargetMode="External"/><Relationship Id="rId5" Type="http://schemas.openxmlformats.org/officeDocument/2006/relationships/hyperlink" Target="http://www.franska.be/exercices/exercices3/stadefrancais/constructionsverbale1blanc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1538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Verbes et prépositions</vt:lpstr>
      <vt:lpstr>    Verbes suivis d'un infinitif</vt:lpstr>
      <vt:lpstr>    Verbes suivis d'un nom</vt:lpstr>
    </vt:vector>
  </TitlesOfParts>
  <Company>Västerås Stad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10</cp:revision>
  <dcterms:created xsi:type="dcterms:W3CDTF">2018-01-20T07:41:00Z</dcterms:created>
  <dcterms:modified xsi:type="dcterms:W3CDTF">2018-01-20T08:33:00Z</dcterms:modified>
</cp:coreProperties>
</file>