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6C7ADA">
      <w:pPr>
        <w:rPr>
          <w:lang w:val="sv-SE"/>
        </w:rPr>
      </w:pPr>
      <w:bookmarkStart w:id="0" w:name="_GoBack"/>
      <w:bookmarkEnd w:id="0"/>
      <w:r>
        <w:rPr>
          <w:lang w:val="sv-SE"/>
        </w:rPr>
        <w:t>GUIDE DES MONUMENTS DE PARIS</w:t>
      </w:r>
    </w:p>
    <w:p w:rsidR="006C7ADA" w:rsidRPr="00681E46" w:rsidRDefault="006C7ADA">
      <w:pPr>
        <w:rPr>
          <w:sz w:val="4"/>
          <w:szCs w:val="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876"/>
        <w:gridCol w:w="6078"/>
      </w:tblGrid>
      <w:tr w:rsidR="006C7ADA" w:rsidRPr="00083D0D" w:rsidTr="00233C6C">
        <w:tc>
          <w:tcPr>
            <w:tcW w:w="2252" w:type="dxa"/>
            <w:shd w:val="clear" w:color="auto" w:fill="auto"/>
          </w:tcPr>
          <w:p w:rsidR="006C7ADA" w:rsidRPr="00233C6C" w:rsidRDefault="00083D0D">
            <w:pPr>
              <w:rPr>
                <w:lang w:val="sv-SE"/>
              </w:rPr>
            </w:pPr>
            <w:r w:rsidRPr="00233C6C">
              <w:rPr>
                <w:lang w:val="sv-SE"/>
              </w:rPr>
              <w:t>le BHV</w:t>
            </w:r>
          </w:p>
        </w:tc>
        <w:tc>
          <w:tcPr>
            <w:tcW w:w="1876" w:type="dxa"/>
            <w:shd w:val="clear" w:color="auto" w:fill="auto"/>
          </w:tcPr>
          <w:p w:rsidR="006C7ADA" w:rsidRPr="00233C6C" w:rsidRDefault="00681E46">
            <w:pPr>
              <w:rPr>
                <w:lang w:val="sv-SE"/>
              </w:rPr>
            </w:pPr>
            <w:r w:rsidRPr="00233C6C">
              <w:rPr>
                <w:lang w:val="sv-SE"/>
              </w:rPr>
              <w:t>1852 Xavier Ruel</w:t>
            </w:r>
          </w:p>
        </w:tc>
        <w:tc>
          <w:tcPr>
            <w:tcW w:w="6078" w:type="dxa"/>
            <w:shd w:val="clear" w:color="auto" w:fill="auto"/>
          </w:tcPr>
          <w:p w:rsidR="00083D0D" w:rsidRPr="00233C6C" w:rsidRDefault="00083D0D" w:rsidP="00233C6C">
            <w:pPr>
              <w:numPr>
                <w:ilvl w:val="0"/>
                <w:numId w:val="2"/>
              </w:numPr>
              <w:rPr>
                <w:sz w:val="18"/>
                <w:szCs w:val="18"/>
              </w:rPr>
            </w:pPr>
            <w:r w:rsidRPr="00233C6C">
              <w:rPr>
                <w:sz w:val="18"/>
                <w:szCs w:val="18"/>
              </w:rPr>
              <w:t xml:space="preserve">1852, Xavier Ruel, quincaillier entreprenant, vend sa boutique de Lyon et accompagné de sa femme et de ses enfants, vient tenter sa chance à Paris et s’installe dans le quartier de l’Hôtel de Ville </w:t>
            </w:r>
          </w:p>
          <w:p w:rsidR="00083D0D" w:rsidRPr="00233C6C" w:rsidRDefault="00083D0D" w:rsidP="00233C6C">
            <w:pPr>
              <w:numPr>
                <w:ilvl w:val="0"/>
                <w:numId w:val="2"/>
              </w:numPr>
              <w:rPr>
                <w:sz w:val="18"/>
                <w:szCs w:val="18"/>
              </w:rPr>
            </w:pPr>
            <w:r w:rsidRPr="00233C6C">
              <w:rPr>
                <w:sz w:val="18"/>
                <w:szCs w:val="18"/>
              </w:rPr>
              <w:t>Ambitieux et imaginatif, Xavier Ruel achète un stock de bonneterie qu’il entrepose à la périphérie de Paris</w:t>
            </w:r>
          </w:p>
          <w:p w:rsidR="00083D0D" w:rsidRPr="00233C6C" w:rsidRDefault="00083D0D" w:rsidP="00233C6C">
            <w:pPr>
              <w:numPr>
                <w:ilvl w:val="0"/>
                <w:numId w:val="2"/>
              </w:numPr>
              <w:rPr>
                <w:sz w:val="18"/>
                <w:szCs w:val="18"/>
              </w:rPr>
            </w:pPr>
            <w:r w:rsidRPr="00233C6C">
              <w:rPr>
                <w:sz w:val="18"/>
                <w:szCs w:val="18"/>
              </w:rPr>
              <w:t>il ouvre une boutique rue de Rivoli, ça marche bien</w:t>
            </w:r>
          </w:p>
          <w:p w:rsidR="00083D0D" w:rsidRPr="00233C6C" w:rsidRDefault="00083D0D" w:rsidP="00233C6C">
            <w:pPr>
              <w:numPr>
                <w:ilvl w:val="0"/>
                <w:numId w:val="2"/>
              </w:numPr>
              <w:rPr>
                <w:sz w:val="18"/>
                <w:szCs w:val="18"/>
              </w:rPr>
            </w:pPr>
            <w:r w:rsidRPr="00233C6C">
              <w:rPr>
                <w:sz w:val="18"/>
                <w:szCs w:val="18"/>
              </w:rPr>
              <w:t>1855 l’impératrice Eugénie passe devant son magasin, les chevaux de son attelage soudain effrayés s’emballent furieusement. Xavier Ruel se jette à leur tête et parvient à les maitriser. Une récompense lui est accordée pour cet acte héroique. Cette somme lui servira à agrandir son magasin qui selon la légende sera baptisé: le "Bazar Napoléon"</w:t>
            </w:r>
          </w:p>
          <w:p w:rsidR="00083D0D" w:rsidRPr="00233C6C" w:rsidRDefault="00083D0D" w:rsidP="00233C6C">
            <w:pPr>
              <w:numPr>
                <w:ilvl w:val="0"/>
                <w:numId w:val="2"/>
              </w:numPr>
              <w:rPr>
                <w:sz w:val="18"/>
                <w:szCs w:val="18"/>
              </w:rPr>
            </w:pPr>
            <w:r w:rsidRPr="00233C6C">
              <w:rPr>
                <w:sz w:val="18"/>
                <w:szCs w:val="18"/>
              </w:rPr>
              <w:t>affaires florissantes et en 1866, il prend en bail la plus grande partie de l’immeuble du 54 rue de Rivoli : trois étages sont consacrés à la vente et Xavier Ruel se lance également dans le commerce de gros et devient expéditeur de tabletterie.</w:t>
            </w:r>
          </w:p>
          <w:p w:rsidR="006C7ADA" w:rsidRPr="00233C6C" w:rsidRDefault="00083D0D" w:rsidP="00233C6C">
            <w:pPr>
              <w:numPr>
                <w:ilvl w:val="0"/>
                <w:numId w:val="2"/>
              </w:numPr>
              <w:rPr>
                <w:sz w:val="18"/>
                <w:szCs w:val="18"/>
              </w:rPr>
            </w:pPr>
            <w:r w:rsidRPr="00233C6C">
              <w:rPr>
                <w:sz w:val="18"/>
                <w:szCs w:val="18"/>
              </w:rPr>
              <w:t>il disparaît en 1900</w:t>
            </w:r>
          </w:p>
        </w:tc>
      </w:tr>
      <w:tr w:rsidR="006C7ADA" w:rsidRPr="00083D0D" w:rsidTr="00233C6C">
        <w:tc>
          <w:tcPr>
            <w:tcW w:w="2252" w:type="dxa"/>
            <w:shd w:val="clear" w:color="auto" w:fill="auto"/>
          </w:tcPr>
          <w:p w:rsidR="006C7ADA" w:rsidRPr="002673E4" w:rsidRDefault="002673E4">
            <w:r w:rsidRPr="002673E4">
              <w:t>Galeries Lafayette</w:t>
            </w:r>
          </w:p>
        </w:tc>
        <w:tc>
          <w:tcPr>
            <w:tcW w:w="1876" w:type="dxa"/>
            <w:shd w:val="clear" w:color="auto" w:fill="auto"/>
          </w:tcPr>
          <w:p w:rsidR="006C7ADA" w:rsidRPr="002673E4" w:rsidRDefault="002673E4">
            <w:r w:rsidRPr="002673E4">
              <w:t>1893 création</w:t>
            </w:r>
          </w:p>
          <w:p w:rsidR="002673E4" w:rsidRDefault="002673E4">
            <w:hyperlink r:id="rId5" w:tooltip="Théophile Bader" w:history="1">
              <w:r w:rsidRPr="00233C6C">
                <w:rPr>
                  <w:rStyle w:val="Hyperlnk"/>
                  <w:color w:val="auto"/>
                  <w:u w:val="none"/>
                </w:rPr>
                <w:t>Théophile Bader</w:t>
              </w:r>
            </w:hyperlink>
            <w:r w:rsidRPr="002673E4">
              <w:t xml:space="preserve"> et </w:t>
            </w:r>
            <w:hyperlink r:id="rId6" w:tooltip="Alphonse Kahn" w:history="1">
              <w:r w:rsidRPr="00233C6C">
                <w:rPr>
                  <w:rStyle w:val="Hyperlnk"/>
                  <w:color w:val="auto"/>
                  <w:u w:val="none"/>
                </w:rPr>
                <w:t>Alphonse Kahn</w:t>
              </w:r>
            </w:hyperlink>
            <w:r w:rsidRPr="002673E4">
              <w:t xml:space="preserve"> </w:t>
            </w:r>
          </w:p>
          <w:p w:rsidR="002673E4" w:rsidRDefault="002673E4"/>
          <w:p w:rsidR="002673E4" w:rsidRPr="00233C6C" w:rsidRDefault="002673E4">
            <w:pPr>
              <w:rPr>
                <w:sz w:val="22"/>
                <w:szCs w:val="22"/>
              </w:rPr>
            </w:pPr>
            <w:r w:rsidRPr="00233C6C">
              <w:rPr>
                <w:sz w:val="22"/>
                <w:szCs w:val="22"/>
              </w:rPr>
              <w:t xml:space="preserve">1896 Georges Chedanne,  Ferdinand Chanut </w:t>
            </w:r>
          </w:p>
          <w:p w:rsidR="002673E4" w:rsidRPr="00233C6C" w:rsidRDefault="002673E4">
            <w:pPr>
              <w:rPr>
                <w:sz w:val="22"/>
                <w:szCs w:val="22"/>
              </w:rPr>
            </w:pPr>
          </w:p>
          <w:p w:rsidR="002673E4" w:rsidRPr="002673E4" w:rsidRDefault="002673E4">
            <w:r w:rsidRPr="00233C6C">
              <w:rPr>
                <w:sz w:val="22"/>
                <w:szCs w:val="22"/>
              </w:rPr>
              <w:t>1912 nouveau magasin inauguré</w:t>
            </w:r>
          </w:p>
        </w:tc>
        <w:tc>
          <w:tcPr>
            <w:tcW w:w="6078" w:type="dxa"/>
            <w:shd w:val="clear" w:color="auto" w:fill="auto"/>
          </w:tcPr>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20 millions de visiteurs par an, 55 000 par jour. </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la plus grande surface du monde occidental et le plus important magasin européen par le chiffre d’affaires.</w:t>
            </w:r>
            <w:bookmarkStart w:id="1" w:name="Les_d.C3.A9buts"/>
            <w:bookmarkEnd w:id="1"/>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à l'angle de la </w:t>
            </w:r>
            <w:hyperlink r:id="rId7" w:tooltip="Rue La Fayette" w:history="1">
              <w:r w:rsidRPr="00233C6C">
                <w:rPr>
                  <w:rStyle w:val="Hyperlnk"/>
                  <w:color w:val="auto"/>
                  <w:sz w:val="18"/>
                  <w:szCs w:val="18"/>
                  <w:u w:val="none"/>
                </w:rPr>
                <w:t>rue La Fayette</w:t>
              </w:r>
            </w:hyperlink>
            <w:r w:rsidRPr="00233C6C">
              <w:rPr>
                <w:sz w:val="18"/>
                <w:szCs w:val="18"/>
              </w:rPr>
              <w:t xml:space="preserve"> et de la </w:t>
            </w:r>
            <w:hyperlink r:id="rId8" w:tooltip="Rue de la Chaussée d'Antin" w:history="1">
              <w:r w:rsidRPr="00233C6C">
                <w:rPr>
                  <w:rStyle w:val="Hyperlnk"/>
                  <w:color w:val="auto"/>
                  <w:sz w:val="18"/>
                  <w:szCs w:val="18"/>
                  <w:u w:val="none"/>
                </w:rPr>
                <w:t>rue de la Chaussée d'Antin</w:t>
              </w:r>
            </w:hyperlink>
            <w:r w:rsidRPr="00233C6C">
              <w:rPr>
                <w:sz w:val="18"/>
                <w:szCs w:val="18"/>
              </w:rPr>
              <w:t xml:space="preserve">, plus de 40 ans après </w:t>
            </w:r>
            <w:hyperlink r:id="rId9" w:tooltip="Le Bon Marché" w:history="1">
              <w:r w:rsidRPr="00233C6C">
                <w:rPr>
                  <w:rStyle w:val="Hyperlnk"/>
                  <w:color w:val="auto"/>
                  <w:sz w:val="18"/>
                  <w:szCs w:val="18"/>
                  <w:u w:val="none"/>
                </w:rPr>
                <w:t>Le Bon Marché</w:t>
              </w:r>
            </w:hyperlink>
            <w:r w:rsidRPr="00233C6C">
              <w:rPr>
                <w:sz w:val="18"/>
                <w:szCs w:val="18"/>
              </w:rPr>
              <w:t>.</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En 1896, la société achète la totalité de l'immeuble du 1, rue </w:t>
            </w:r>
            <w:hyperlink r:id="rId10" w:tooltip="La Fayette" w:history="1">
              <w:r w:rsidRPr="00233C6C">
                <w:rPr>
                  <w:rStyle w:val="Hyperlnk"/>
                  <w:color w:val="auto"/>
                  <w:sz w:val="18"/>
                  <w:szCs w:val="18"/>
                  <w:u w:val="none"/>
                </w:rPr>
                <w:t>La Fayette</w:t>
              </w:r>
            </w:hyperlink>
            <w:r w:rsidRPr="00233C6C">
              <w:rPr>
                <w:sz w:val="18"/>
                <w:szCs w:val="18"/>
              </w:rPr>
              <w:t xml:space="preserve"> et, en 1905, les immeubles des 38, 40 et 42, boulevard Haussmann ainsi que le 15, </w:t>
            </w:r>
            <w:hyperlink r:id="rId11" w:tooltip="Rue de la Chaussée d'Antin" w:history="1">
              <w:r w:rsidRPr="00233C6C">
                <w:rPr>
                  <w:rStyle w:val="Hyperlnk"/>
                  <w:color w:val="auto"/>
                  <w:sz w:val="18"/>
                  <w:szCs w:val="18"/>
                  <w:u w:val="none"/>
                </w:rPr>
                <w:t>rue de la Chaussée d'Antin</w:t>
              </w:r>
            </w:hyperlink>
            <w:r w:rsidRPr="00233C6C">
              <w:rPr>
                <w:sz w:val="18"/>
                <w:szCs w:val="18"/>
              </w:rPr>
              <w:t xml:space="preserve">. </w:t>
            </w:r>
            <w:bookmarkStart w:id="2" w:name="Un_magasin_de_luxe"/>
            <w:bookmarkEnd w:id="2"/>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En octobre 1912, le nouveau magasin est inauguré. Il est composé de 96 rayons, d'un salon de thé, d'une bibliothèque et d'un salon de coiffure. Il a 5 étages, des balcons et une grande coupole. Cette dernière, inspirée par le </w:t>
            </w:r>
            <w:hyperlink r:id="rId12" w:tooltip="Style byzantin" w:history="1">
              <w:r w:rsidRPr="00233C6C">
                <w:rPr>
                  <w:rStyle w:val="Hyperlnk"/>
                  <w:color w:val="auto"/>
                  <w:sz w:val="18"/>
                  <w:szCs w:val="18"/>
                  <w:u w:val="none"/>
                </w:rPr>
                <w:t>style byzantin</w:t>
              </w:r>
            </w:hyperlink>
            <w:r w:rsidRPr="00233C6C">
              <w:rPr>
                <w:sz w:val="18"/>
                <w:szCs w:val="18"/>
              </w:rPr>
              <w:t xml:space="preserve">, à 33 mètres de hauteur, est constituée de dix faisceaux de vitraux peints, enserrés dans une armature métallique richement sculptée de motifs floraux. Les balustres des étages inférieurs, ornées de feuillages, sont signées Louis Majorelle à qui l'on doit également la rampe d'escalier. Selon les vœux de Théophile Bader, une lumière dorée, venant de la coupole, inonde le grand hall, avec son escalier d'honneur, et fait scintiller la marchandise. Au sommet du bâtiment, une terrasse permet de découvrir Paris et sa nouvelle </w:t>
            </w:r>
            <w:hyperlink r:id="rId13" w:tooltip="Tour Eiffel" w:history="1">
              <w:r w:rsidRPr="00233C6C">
                <w:rPr>
                  <w:rStyle w:val="Hyperlnk"/>
                  <w:color w:val="auto"/>
                  <w:sz w:val="18"/>
                  <w:szCs w:val="18"/>
                  <w:u w:val="none"/>
                </w:rPr>
                <w:t>Tour Eiffel</w:t>
              </w:r>
            </w:hyperlink>
            <w:r w:rsidRPr="00233C6C">
              <w:rPr>
                <w:sz w:val="18"/>
                <w:szCs w:val="18"/>
              </w:rPr>
              <w:t>. Les vitrines jouent un grand rôle dans cette mise en scène : elles doivent éveiller toutes les envies et tous les désirs. Tout est fait pour que le client se sente bien et ait envie d'acheter.</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Le magasin est tout entier dévoué à la nouveauté et à la </w:t>
            </w:r>
            <w:hyperlink r:id="rId14" w:tooltip="Mode" w:history="1">
              <w:r w:rsidRPr="00233C6C">
                <w:rPr>
                  <w:rStyle w:val="Hyperlnk"/>
                  <w:color w:val="auto"/>
                  <w:sz w:val="18"/>
                  <w:szCs w:val="18"/>
                  <w:u w:val="none"/>
                </w:rPr>
                <w:t>mode</w:t>
              </w:r>
            </w:hyperlink>
            <w:r w:rsidRPr="00233C6C">
              <w:rPr>
                <w:sz w:val="18"/>
                <w:szCs w:val="18"/>
              </w:rPr>
              <w:t>. La démocratisation de cette dernière est en marche et le succès est au rendez-vous. Puis, le magasin diversifie son offre : aux rayons traditionnels sont ajoutés la confection pour homme, l'ameublement, les jouets et les arts de la table.</w:t>
            </w:r>
            <w:bookmarkStart w:id="3" w:name="L.27apr.C3.A8s_guerre"/>
            <w:bookmarkEnd w:id="3"/>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Entre 1952 et 1956, les premiers escalators sont installés, les halls intérieurs sont supprimés et deux étages sont rajoutés.</w:t>
            </w:r>
            <w:bookmarkStart w:id="4" w:name="Des_ann.C3.A9es_60_.C3.A0_2000"/>
            <w:bookmarkEnd w:id="4"/>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En 1969, un nouveau magasin, réservé à la mode masculine, est construit de l'autre côté de la rue de Mogador.</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Les Galeries Lafayette s'imposent comme un acteur important dans la création, elles révèlent à chaque saison ces nouveaux talents en mettant à leur disposition de petites boutiques dans le magasin. C'est le cas de </w:t>
            </w:r>
            <w:hyperlink r:id="rId15" w:tooltip="Daniel Hechter" w:history="1">
              <w:r w:rsidRPr="00233C6C">
                <w:rPr>
                  <w:rStyle w:val="Hyperlnk"/>
                  <w:color w:val="auto"/>
                  <w:sz w:val="18"/>
                  <w:szCs w:val="18"/>
                  <w:u w:val="none"/>
                </w:rPr>
                <w:t>Daniel Hechter</w:t>
              </w:r>
            </w:hyperlink>
            <w:r w:rsidRPr="00233C6C">
              <w:rPr>
                <w:sz w:val="18"/>
                <w:szCs w:val="18"/>
              </w:rPr>
              <w:t xml:space="preserve">, </w:t>
            </w:r>
            <w:hyperlink r:id="rId16" w:tooltip="Pierre Cardin" w:history="1">
              <w:r w:rsidRPr="00233C6C">
                <w:rPr>
                  <w:rStyle w:val="Hyperlnk"/>
                  <w:color w:val="auto"/>
                  <w:sz w:val="18"/>
                  <w:szCs w:val="18"/>
                  <w:u w:val="none"/>
                </w:rPr>
                <w:t>Pierre Cardin</w:t>
              </w:r>
            </w:hyperlink>
            <w:r w:rsidRPr="00233C6C">
              <w:rPr>
                <w:sz w:val="18"/>
                <w:szCs w:val="18"/>
              </w:rPr>
              <w:t xml:space="preserve">, </w:t>
            </w:r>
            <w:hyperlink r:id="rId17" w:tooltip="Cacharel" w:history="1">
              <w:r w:rsidRPr="00233C6C">
                <w:rPr>
                  <w:rStyle w:val="Hyperlnk"/>
                  <w:color w:val="auto"/>
                  <w:sz w:val="18"/>
                  <w:szCs w:val="18"/>
                  <w:u w:val="none"/>
                </w:rPr>
                <w:t>Cacharel</w:t>
              </w:r>
            </w:hyperlink>
            <w:r w:rsidRPr="00233C6C">
              <w:rPr>
                <w:sz w:val="18"/>
                <w:szCs w:val="18"/>
              </w:rPr>
              <w:t xml:space="preserve">, </w:t>
            </w:r>
            <w:hyperlink r:id="rId18" w:tooltip="Yves Saint-Laurent" w:history="1">
              <w:r w:rsidRPr="00233C6C">
                <w:rPr>
                  <w:rStyle w:val="Hyperlnk"/>
                  <w:color w:val="auto"/>
                  <w:sz w:val="18"/>
                  <w:szCs w:val="18"/>
                  <w:u w:val="none"/>
                </w:rPr>
                <w:t>Yves Saint-Laurent</w:t>
              </w:r>
            </w:hyperlink>
            <w:r w:rsidRPr="00233C6C">
              <w:rPr>
                <w:sz w:val="18"/>
                <w:szCs w:val="18"/>
              </w:rPr>
              <w:t>, entre autres.</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En 1974, on démonte l'escalier d'honneur et, en 1984, le rez-de-chaussée central est modifié afin d'ouvrir des boutiques de prestige. De nombreuses personnalités viennent visiter les Galeries Lafayette est elle sont aussi visitées que la Tour Eiffel.</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Dès 1975, Les Galeries Lafayette Haussmann avec ses 47 800 m² de surface de vente occupaient la première place en réalisant un chiffre d'affaires supérieur à celui du </w:t>
            </w:r>
            <w:hyperlink r:id="rId19" w:tooltip="Grands magasins du Printemps" w:history="1">
              <w:r w:rsidRPr="00233C6C">
                <w:rPr>
                  <w:rStyle w:val="Hyperlnk"/>
                  <w:color w:val="auto"/>
                  <w:sz w:val="18"/>
                  <w:szCs w:val="18"/>
                  <w:u w:val="none"/>
                </w:rPr>
                <w:t>Printemps</w:t>
              </w:r>
            </w:hyperlink>
            <w:r w:rsidRPr="00233C6C">
              <w:rPr>
                <w:sz w:val="18"/>
                <w:szCs w:val="18"/>
              </w:rPr>
              <w:t xml:space="preserve">, du </w:t>
            </w:r>
            <w:hyperlink r:id="rId20" w:tooltip="BHV" w:history="1">
              <w:r w:rsidRPr="00233C6C">
                <w:rPr>
                  <w:rStyle w:val="Hyperlnk"/>
                  <w:color w:val="auto"/>
                  <w:sz w:val="18"/>
                  <w:szCs w:val="18"/>
                  <w:u w:val="none"/>
                </w:rPr>
                <w:t>BHV</w:t>
              </w:r>
            </w:hyperlink>
            <w:r w:rsidRPr="00233C6C">
              <w:rPr>
                <w:sz w:val="18"/>
                <w:szCs w:val="18"/>
              </w:rPr>
              <w:t xml:space="preserve"> Rivoli, de </w:t>
            </w:r>
            <w:hyperlink r:id="rId21" w:tooltip="La Samaritaine" w:history="1">
              <w:r w:rsidRPr="00233C6C">
                <w:rPr>
                  <w:rStyle w:val="Hyperlnk"/>
                  <w:color w:val="auto"/>
                  <w:sz w:val="18"/>
                  <w:szCs w:val="18"/>
                  <w:u w:val="none"/>
                </w:rPr>
                <w:t>la Samaritaine</w:t>
              </w:r>
            </w:hyperlink>
            <w:r w:rsidRPr="00233C6C">
              <w:rPr>
                <w:sz w:val="18"/>
                <w:szCs w:val="18"/>
              </w:rPr>
              <w:t xml:space="preserve"> et du </w:t>
            </w:r>
            <w:hyperlink r:id="rId22" w:tooltip="Le Bon Marché" w:history="1">
              <w:r w:rsidRPr="00233C6C">
                <w:rPr>
                  <w:rStyle w:val="Hyperlnk"/>
                  <w:color w:val="auto"/>
                  <w:sz w:val="18"/>
                  <w:szCs w:val="18"/>
                  <w:u w:val="none"/>
                </w:rPr>
                <w:t>Bon Marché</w:t>
              </w:r>
            </w:hyperlink>
            <w:r w:rsidRPr="00233C6C">
              <w:rPr>
                <w:sz w:val="18"/>
                <w:szCs w:val="18"/>
              </w:rPr>
              <w:t>.</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En 2003:</w:t>
            </w:r>
            <w:r w:rsidR="004F6745" w:rsidRPr="00233C6C">
              <w:rPr>
                <w:sz w:val="18"/>
                <w:szCs w:val="18"/>
              </w:rPr>
              <w:t xml:space="preserve"> </w:t>
            </w:r>
            <w:r w:rsidRPr="00233C6C">
              <w:rPr>
                <w:sz w:val="18"/>
                <w:szCs w:val="18"/>
              </w:rPr>
              <w:t xml:space="preserve">Chiffre d'affaires: 1 912,8 millions d'euros </w:t>
            </w:r>
          </w:p>
          <w:p w:rsidR="002673E4" w:rsidRPr="00233C6C" w:rsidRDefault="002673E4" w:rsidP="00233C6C">
            <w:pPr>
              <w:numPr>
                <w:ilvl w:val="1"/>
                <w:numId w:val="2"/>
              </w:numPr>
              <w:tabs>
                <w:tab w:val="clear" w:pos="680"/>
                <w:tab w:val="num" w:pos="361"/>
              </w:tabs>
              <w:ind w:left="294" w:hanging="294"/>
              <w:rPr>
                <w:sz w:val="18"/>
                <w:szCs w:val="18"/>
              </w:rPr>
            </w:pPr>
            <w:r w:rsidRPr="00233C6C">
              <w:rPr>
                <w:sz w:val="18"/>
                <w:szCs w:val="18"/>
              </w:rPr>
              <w:t xml:space="preserve">Résultat d'exploitation: 38,4 millions d'euros </w:t>
            </w:r>
          </w:p>
          <w:p w:rsidR="006C7ADA" w:rsidRPr="00233C6C" w:rsidRDefault="002673E4" w:rsidP="00233C6C">
            <w:pPr>
              <w:numPr>
                <w:ilvl w:val="1"/>
                <w:numId w:val="2"/>
              </w:numPr>
              <w:tabs>
                <w:tab w:val="num" w:pos="361"/>
              </w:tabs>
              <w:ind w:left="294" w:hanging="294"/>
              <w:rPr>
                <w:sz w:val="18"/>
                <w:szCs w:val="18"/>
              </w:rPr>
            </w:pPr>
            <w:r w:rsidRPr="00233C6C">
              <w:rPr>
                <w:sz w:val="18"/>
                <w:szCs w:val="18"/>
              </w:rPr>
              <w:t>Effectifs: 10557</w:t>
            </w:r>
            <w:r w:rsidR="004F6745" w:rsidRPr="00233C6C">
              <w:rPr>
                <w:sz w:val="18"/>
                <w:szCs w:val="18"/>
              </w:rPr>
              <w:t xml:space="preserve"> ; </w:t>
            </w:r>
            <w:r w:rsidRPr="00233C6C">
              <w:rPr>
                <w:sz w:val="18"/>
                <w:szCs w:val="18"/>
              </w:rPr>
              <w:t xml:space="preserve">Nombre de magasins: 60, plus 10 affiliés </w:t>
            </w:r>
          </w:p>
        </w:tc>
      </w:tr>
      <w:tr w:rsidR="006C7ADA" w:rsidRPr="00083D0D" w:rsidTr="00233C6C">
        <w:tc>
          <w:tcPr>
            <w:tcW w:w="2252" w:type="dxa"/>
            <w:shd w:val="clear" w:color="auto" w:fill="auto"/>
          </w:tcPr>
          <w:p w:rsidR="006C7ADA" w:rsidRPr="00083D0D" w:rsidRDefault="00681E46">
            <w:r>
              <w:t>la Tour Montparnasse</w:t>
            </w:r>
          </w:p>
        </w:tc>
        <w:tc>
          <w:tcPr>
            <w:tcW w:w="1876" w:type="dxa"/>
            <w:shd w:val="clear" w:color="auto" w:fill="auto"/>
          </w:tcPr>
          <w:p w:rsidR="006C7ADA" w:rsidRPr="00083D0D" w:rsidRDefault="00681E46">
            <w:hyperlink r:id="rId23" w:tooltip="1969" w:history="1">
              <w:r w:rsidRPr="00233C6C">
                <w:rPr>
                  <w:rStyle w:val="Hyperlnk"/>
                  <w:color w:val="auto"/>
                  <w:u w:val="none"/>
                </w:rPr>
                <w:t>1969</w:t>
              </w:r>
            </w:hyperlink>
            <w:r w:rsidRPr="00681E46">
              <w:t xml:space="preserve"> à fin </w:t>
            </w:r>
            <w:hyperlink r:id="rId24" w:tooltip="1972" w:history="1">
              <w:r w:rsidRPr="00233C6C">
                <w:rPr>
                  <w:rStyle w:val="Hyperlnk"/>
                  <w:color w:val="auto"/>
                  <w:u w:val="none"/>
                </w:rPr>
                <w:t>1972</w:t>
              </w:r>
            </w:hyperlink>
            <w:r>
              <w:t xml:space="preserve"> </w:t>
            </w:r>
            <w:hyperlink r:id="rId25" w:tooltip="Roger Saubot" w:history="1">
              <w:r w:rsidRPr="00233C6C">
                <w:rPr>
                  <w:rStyle w:val="Hyperlnk"/>
                  <w:color w:val="auto"/>
                  <w:u w:val="none"/>
                </w:rPr>
                <w:t>Roger Saubot</w:t>
              </w:r>
            </w:hyperlink>
          </w:p>
        </w:tc>
        <w:tc>
          <w:tcPr>
            <w:tcW w:w="6078" w:type="dxa"/>
            <w:shd w:val="clear" w:color="auto" w:fill="auto"/>
          </w:tcPr>
          <w:p w:rsidR="006C7ADA" w:rsidRPr="00233C6C" w:rsidRDefault="00681E46" w:rsidP="00233C6C">
            <w:pPr>
              <w:tabs>
                <w:tab w:val="num" w:pos="320"/>
              </w:tabs>
              <w:ind w:hanging="360"/>
              <w:rPr>
                <w:sz w:val="20"/>
                <w:szCs w:val="20"/>
              </w:rPr>
            </w:pPr>
            <w:r w:rsidRPr="00233C6C">
              <w:rPr>
                <w:sz w:val="20"/>
                <w:szCs w:val="20"/>
              </w:rPr>
              <w:t xml:space="preserve">le plus haut </w:t>
            </w:r>
            <w:hyperlink r:id="rId26" w:tooltip="Gratte-ciel" w:history="1">
              <w:r w:rsidRPr="00233C6C">
                <w:rPr>
                  <w:rStyle w:val="Hyperlnk"/>
                  <w:color w:val="auto"/>
                  <w:sz w:val="20"/>
                  <w:szCs w:val="20"/>
                  <w:u w:val="none"/>
                </w:rPr>
                <w:t>gratte-ciel</w:t>
              </w:r>
            </w:hyperlink>
            <w:r w:rsidRPr="00233C6C">
              <w:rPr>
                <w:sz w:val="20"/>
                <w:szCs w:val="20"/>
              </w:rPr>
              <w:t xml:space="preserve"> de France, construite sur l'emplacement de l'ancienne gare Montparnasse et inaugurée en </w:t>
            </w:r>
            <w:hyperlink r:id="rId27" w:tooltip="1973" w:history="1">
              <w:r w:rsidRPr="00233C6C">
                <w:rPr>
                  <w:rStyle w:val="Hyperlnk"/>
                  <w:color w:val="auto"/>
                  <w:sz w:val="20"/>
                  <w:szCs w:val="20"/>
                  <w:u w:val="none"/>
                </w:rPr>
                <w:t>1973</w:t>
              </w:r>
            </w:hyperlink>
            <w:r w:rsidRPr="00233C6C">
              <w:rPr>
                <w:sz w:val="20"/>
                <w:szCs w:val="20"/>
              </w:rPr>
              <w:t>; 209 m ; 59 étages</w:t>
            </w: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r w:rsidR="006C7ADA" w:rsidRPr="00083D0D" w:rsidTr="00233C6C">
        <w:tc>
          <w:tcPr>
            <w:tcW w:w="2252" w:type="dxa"/>
            <w:shd w:val="clear" w:color="auto" w:fill="auto"/>
          </w:tcPr>
          <w:p w:rsidR="006C7ADA" w:rsidRPr="00083D0D" w:rsidRDefault="006C7ADA"/>
        </w:tc>
        <w:tc>
          <w:tcPr>
            <w:tcW w:w="1876" w:type="dxa"/>
            <w:shd w:val="clear" w:color="auto" w:fill="auto"/>
          </w:tcPr>
          <w:p w:rsidR="006C7ADA" w:rsidRPr="00083D0D" w:rsidRDefault="006C7ADA"/>
        </w:tc>
        <w:tc>
          <w:tcPr>
            <w:tcW w:w="6078" w:type="dxa"/>
            <w:shd w:val="clear" w:color="auto" w:fill="auto"/>
          </w:tcPr>
          <w:p w:rsidR="006C7ADA" w:rsidRPr="00233C6C" w:rsidRDefault="006C7ADA" w:rsidP="00233C6C">
            <w:pPr>
              <w:tabs>
                <w:tab w:val="num" w:pos="320"/>
              </w:tabs>
              <w:ind w:hanging="360"/>
              <w:rPr>
                <w:sz w:val="18"/>
                <w:szCs w:val="18"/>
              </w:rPr>
            </w:pPr>
          </w:p>
        </w:tc>
      </w:tr>
    </w:tbl>
    <w:p w:rsidR="006C7ADA" w:rsidRPr="00083D0D" w:rsidRDefault="006C7ADA"/>
    <w:sectPr w:rsidR="006C7ADA" w:rsidRPr="00083D0D" w:rsidSect="0076017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657"/>
    <w:multiLevelType w:val="hybridMultilevel"/>
    <w:tmpl w:val="D90E7E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752A0"/>
    <w:multiLevelType w:val="hybridMultilevel"/>
    <w:tmpl w:val="2A86D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51AF9"/>
    <w:multiLevelType w:val="hybridMultilevel"/>
    <w:tmpl w:val="910E4734"/>
    <w:lvl w:ilvl="0" w:tplc="041D0001">
      <w:start w:val="1"/>
      <w:numFmt w:val="bullet"/>
      <w:lvlText w:val=""/>
      <w:lvlJc w:val="left"/>
      <w:pPr>
        <w:tabs>
          <w:tab w:val="num" w:pos="320"/>
        </w:tabs>
        <w:ind w:left="320" w:hanging="360"/>
      </w:pPr>
      <w:rPr>
        <w:rFonts w:ascii="Symbol" w:hAnsi="Symbol" w:hint="default"/>
      </w:rPr>
    </w:lvl>
    <w:lvl w:ilvl="1" w:tplc="55805F58">
      <w:start w:val="1"/>
      <w:numFmt w:val="bullet"/>
      <w:lvlText w:val=""/>
      <w:lvlJc w:val="left"/>
      <w:pPr>
        <w:tabs>
          <w:tab w:val="num" w:pos="680"/>
        </w:tabs>
        <w:ind w:left="720" w:hanging="720"/>
      </w:pPr>
      <w:rPr>
        <w:rFonts w:ascii="Symbol" w:hAnsi="Symbol" w:hint="default"/>
      </w:rPr>
    </w:lvl>
    <w:lvl w:ilvl="2" w:tplc="041D0005" w:tentative="1">
      <w:start w:val="1"/>
      <w:numFmt w:val="bullet"/>
      <w:lvlText w:val=""/>
      <w:lvlJc w:val="left"/>
      <w:pPr>
        <w:tabs>
          <w:tab w:val="num" w:pos="1760"/>
        </w:tabs>
        <w:ind w:left="1760" w:hanging="360"/>
      </w:pPr>
      <w:rPr>
        <w:rFonts w:ascii="Wingdings" w:hAnsi="Wingdings" w:hint="default"/>
      </w:rPr>
    </w:lvl>
    <w:lvl w:ilvl="3" w:tplc="041D0001" w:tentative="1">
      <w:start w:val="1"/>
      <w:numFmt w:val="bullet"/>
      <w:lvlText w:val=""/>
      <w:lvlJc w:val="left"/>
      <w:pPr>
        <w:tabs>
          <w:tab w:val="num" w:pos="2480"/>
        </w:tabs>
        <w:ind w:left="2480" w:hanging="360"/>
      </w:pPr>
      <w:rPr>
        <w:rFonts w:ascii="Symbol" w:hAnsi="Symbol" w:hint="default"/>
      </w:rPr>
    </w:lvl>
    <w:lvl w:ilvl="4" w:tplc="041D0003" w:tentative="1">
      <w:start w:val="1"/>
      <w:numFmt w:val="bullet"/>
      <w:lvlText w:val="o"/>
      <w:lvlJc w:val="left"/>
      <w:pPr>
        <w:tabs>
          <w:tab w:val="num" w:pos="3200"/>
        </w:tabs>
        <w:ind w:left="3200" w:hanging="360"/>
      </w:pPr>
      <w:rPr>
        <w:rFonts w:ascii="Courier New" w:hAnsi="Courier New" w:cs="Courier New" w:hint="default"/>
      </w:rPr>
    </w:lvl>
    <w:lvl w:ilvl="5" w:tplc="041D0005" w:tentative="1">
      <w:start w:val="1"/>
      <w:numFmt w:val="bullet"/>
      <w:lvlText w:val=""/>
      <w:lvlJc w:val="left"/>
      <w:pPr>
        <w:tabs>
          <w:tab w:val="num" w:pos="3920"/>
        </w:tabs>
        <w:ind w:left="3920" w:hanging="360"/>
      </w:pPr>
      <w:rPr>
        <w:rFonts w:ascii="Wingdings" w:hAnsi="Wingdings" w:hint="default"/>
      </w:rPr>
    </w:lvl>
    <w:lvl w:ilvl="6" w:tplc="041D0001" w:tentative="1">
      <w:start w:val="1"/>
      <w:numFmt w:val="bullet"/>
      <w:lvlText w:val=""/>
      <w:lvlJc w:val="left"/>
      <w:pPr>
        <w:tabs>
          <w:tab w:val="num" w:pos="4640"/>
        </w:tabs>
        <w:ind w:left="4640" w:hanging="360"/>
      </w:pPr>
      <w:rPr>
        <w:rFonts w:ascii="Symbol" w:hAnsi="Symbol" w:hint="default"/>
      </w:rPr>
    </w:lvl>
    <w:lvl w:ilvl="7" w:tplc="041D0003" w:tentative="1">
      <w:start w:val="1"/>
      <w:numFmt w:val="bullet"/>
      <w:lvlText w:val="o"/>
      <w:lvlJc w:val="left"/>
      <w:pPr>
        <w:tabs>
          <w:tab w:val="num" w:pos="5360"/>
        </w:tabs>
        <w:ind w:left="5360" w:hanging="360"/>
      </w:pPr>
      <w:rPr>
        <w:rFonts w:ascii="Courier New" w:hAnsi="Courier New" w:cs="Courier New" w:hint="default"/>
      </w:rPr>
    </w:lvl>
    <w:lvl w:ilvl="8" w:tplc="041D0005" w:tentative="1">
      <w:start w:val="1"/>
      <w:numFmt w:val="bullet"/>
      <w:lvlText w:val=""/>
      <w:lvlJc w:val="left"/>
      <w:pPr>
        <w:tabs>
          <w:tab w:val="num" w:pos="6080"/>
        </w:tabs>
        <w:ind w:left="6080" w:hanging="360"/>
      </w:pPr>
      <w:rPr>
        <w:rFonts w:ascii="Wingdings" w:hAnsi="Wingdings" w:hint="default"/>
      </w:rPr>
    </w:lvl>
  </w:abstractNum>
  <w:abstractNum w:abstractNumId="3" w15:restartNumberingAfterBreak="0">
    <w:nsid w:val="5BEB17BD"/>
    <w:multiLevelType w:val="hybridMultilevel"/>
    <w:tmpl w:val="D69E25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67"/>
  <w:displayVerticalDrawingGridEvery w:val="2"/>
  <w:noPunctuationKerning/>
  <w:characterSpacingControl w:val="doNotCompress"/>
  <w:savePreviewPicture/>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83D0D"/>
    <w:rsid w:val="00203188"/>
    <w:rsid w:val="00233C6C"/>
    <w:rsid w:val="002673E4"/>
    <w:rsid w:val="00274F48"/>
    <w:rsid w:val="004F6745"/>
    <w:rsid w:val="00643A06"/>
    <w:rsid w:val="00681E46"/>
    <w:rsid w:val="006C7ADA"/>
    <w:rsid w:val="00760173"/>
    <w:rsid w:val="00805F5A"/>
    <w:rsid w:val="008C24D9"/>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CA157-5889-4071-8243-06C57DE9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C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267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5095">
      <w:bodyDiv w:val="1"/>
      <w:marLeft w:val="0"/>
      <w:marRight w:val="0"/>
      <w:marTop w:val="0"/>
      <w:marBottom w:val="0"/>
      <w:divBdr>
        <w:top w:val="none" w:sz="0" w:space="0" w:color="auto"/>
        <w:left w:val="none" w:sz="0" w:space="0" w:color="auto"/>
        <w:bottom w:val="none" w:sz="0" w:space="0" w:color="auto"/>
        <w:right w:val="none" w:sz="0" w:space="0" w:color="auto"/>
      </w:divBdr>
      <w:divsChild>
        <w:div w:id="1097092138">
          <w:marLeft w:val="0"/>
          <w:marRight w:val="0"/>
          <w:marTop w:val="0"/>
          <w:marBottom w:val="0"/>
          <w:divBdr>
            <w:top w:val="none" w:sz="0" w:space="0" w:color="auto"/>
            <w:left w:val="none" w:sz="0" w:space="0" w:color="auto"/>
            <w:bottom w:val="none" w:sz="0" w:space="0" w:color="auto"/>
            <w:right w:val="none" w:sz="0" w:space="0" w:color="auto"/>
          </w:divBdr>
          <w:divsChild>
            <w:div w:id="263928487">
              <w:marLeft w:val="0"/>
              <w:marRight w:val="0"/>
              <w:marTop w:val="0"/>
              <w:marBottom w:val="0"/>
              <w:divBdr>
                <w:top w:val="none" w:sz="0" w:space="0" w:color="auto"/>
                <w:left w:val="none" w:sz="0" w:space="0" w:color="auto"/>
                <w:bottom w:val="none" w:sz="0" w:space="0" w:color="auto"/>
                <w:right w:val="none" w:sz="0" w:space="0" w:color="auto"/>
              </w:divBdr>
              <w:divsChild>
                <w:div w:id="1400786680">
                  <w:marLeft w:val="2928"/>
                  <w:marRight w:val="0"/>
                  <w:marTop w:val="720"/>
                  <w:marBottom w:val="0"/>
                  <w:divBdr>
                    <w:top w:val="none" w:sz="0" w:space="0" w:color="auto"/>
                    <w:left w:val="none" w:sz="0" w:space="0" w:color="auto"/>
                    <w:bottom w:val="none" w:sz="0" w:space="0" w:color="auto"/>
                    <w:right w:val="none" w:sz="0" w:space="0" w:color="auto"/>
                  </w:divBdr>
                  <w:divsChild>
                    <w:div w:id="9012984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ndex.php?title=Rue_de_la_Chauss%C3%A9e_d%27Antin&amp;action=edit" TargetMode="External"/><Relationship Id="rId13" Type="http://schemas.openxmlformats.org/officeDocument/2006/relationships/hyperlink" Target="http://fr.wikipedia.org/wiki/Tour_Eiffel" TargetMode="External"/><Relationship Id="rId18" Type="http://schemas.openxmlformats.org/officeDocument/2006/relationships/hyperlink" Target="http://fr.wikipedia.org/wiki/Yves_Saint-Laurent" TargetMode="External"/><Relationship Id="rId26" Type="http://schemas.openxmlformats.org/officeDocument/2006/relationships/hyperlink" Target="http://fr.wikipedia.org/wiki/Gratte-ciel" TargetMode="External"/><Relationship Id="rId3" Type="http://schemas.openxmlformats.org/officeDocument/2006/relationships/settings" Target="settings.xml"/><Relationship Id="rId21" Type="http://schemas.openxmlformats.org/officeDocument/2006/relationships/hyperlink" Target="http://fr.wikipedia.org/wiki/La_Samaritaine" TargetMode="External"/><Relationship Id="rId7" Type="http://schemas.openxmlformats.org/officeDocument/2006/relationships/hyperlink" Target="http://fr.wikipedia.org/w/index.php?title=Rue_La_Fayette&amp;action=edit" TargetMode="External"/><Relationship Id="rId12" Type="http://schemas.openxmlformats.org/officeDocument/2006/relationships/hyperlink" Target="http://fr.wikipedia.org/w/index.php?title=Style_byzantin&amp;action=edit" TargetMode="External"/><Relationship Id="rId17" Type="http://schemas.openxmlformats.org/officeDocument/2006/relationships/hyperlink" Target="http://fr.wikipedia.org/wiki/Cacharel" TargetMode="External"/><Relationship Id="rId25" Type="http://schemas.openxmlformats.org/officeDocument/2006/relationships/hyperlink" Target="http://fr.wikipedia.org/w/index.php?title=Roger_Saubot&amp;action=edit" TargetMode="External"/><Relationship Id="rId2" Type="http://schemas.openxmlformats.org/officeDocument/2006/relationships/styles" Target="styles.xml"/><Relationship Id="rId16" Type="http://schemas.openxmlformats.org/officeDocument/2006/relationships/hyperlink" Target="http://fr.wikipedia.org/wiki/Pierre_Cardin" TargetMode="External"/><Relationship Id="rId20" Type="http://schemas.openxmlformats.org/officeDocument/2006/relationships/hyperlink" Target="http://fr.wikipedia.org/w/index.php?title=BHV&amp;action=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ndex.php?title=Alphonse_Kahn&amp;action=edit" TargetMode="External"/><Relationship Id="rId11" Type="http://schemas.openxmlformats.org/officeDocument/2006/relationships/hyperlink" Target="http://fr.wikipedia.org/w/index.php?title=Rue_de_la_Chauss%C3%A9e_d%27Antin&amp;action=edit" TargetMode="External"/><Relationship Id="rId24" Type="http://schemas.openxmlformats.org/officeDocument/2006/relationships/hyperlink" Target="http://fr.wikipedia.org/wiki/1972" TargetMode="External"/><Relationship Id="rId5" Type="http://schemas.openxmlformats.org/officeDocument/2006/relationships/hyperlink" Target="http://fr.wikipedia.org/w/index.php?title=Th%C3%A9ophile_Bader&amp;action=edit" TargetMode="External"/><Relationship Id="rId15" Type="http://schemas.openxmlformats.org/officeDocument/2006/relationships/hyperlink" Target="http://fr.wikipedia.org/wiki/Daniel_Hechter" TargetMode="External"/><Relationship Id="rId23" Type="http://schemas.openxmlformats.org/officeDocument/2006/relationships/hyperlink" Target="http://fr.wikipedia.org/wiki/1969" TargetMode="External"/><Relationship Id="rId28" Type="http://schemas.openxmlformats.org/officeDocument/2006/relationships/fontTable" Target="fontTable.xml"/><Relationship Id="rId10" Type="http://schemas.openxmlformats.org/officeDocument/2006/relationships/hyperlink" Target="http://fr.wikipedia.org/wiki/La_Fayette" TargetMode="External"/><Relationship Id="rId19" Type="http://schemas.openxmlformats.org/officeDocument/2006/relationships/hyperlink" Target="http://fr.wikipedia.org/w/index.php?title=Grands_magasins_du_Printemps&amp;action=edit" TargetMode="External"/><Relationship Id="rId4" Type="http://schemas.openxmlformats.org/officeDocument/2006/relationships/webSettings" Target="webSettings.xml"/><Relationship Id="rId9" Type="http://schemas.openxmlformats.org/officeDocument/2006/relationships/hyperlink" Target="http://fr.wikipedia.org/wiki/Le_Bon_March%C3%A9" TargetMode="External"/><Relationship Id="rId14" Type="http://schemas.openxmlformats.org/officeDocument/2006/relationships/hyperlink" Target="http://fr.wikipedia.org/wiki/Mode" TargetMode="External"/><Relationship Id="rId22" Type="http://schemas.openxmlformats.org/officeDocument/2006/relationships/hyperlink" Target="http://fr.wikipedia.org/wiki/Le_Bon_March%C3%A9" TargetMode="External"/><Relationship Id="rId27" Type="http://schemas.openxmlformats.org/officeDocument/2006/relationships/hyperlink" Target="http://fr.wikipedia.org/wiki/19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5375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GUIDE DES MONUMENTS DE PARIS</vt:lpstr>
    </vt:vector>
  </TitlesOfParts>
  <Company> </Company>
  <LinksUpToDate>false</LinksUpToDate>
  <CharactersWithSpaces>6377</CharactersWithSpaces>
  <SharedDoc>false</SharedDoc>
  <HLinks>
    <vt:vector size="138" baseType="variant">
      <vt:variant>
        <vt:i4>1703952</vt:i4>
      </vt:variant>
      <vt:variant>
        <vt:i4>66</vt:i4>
      </vt:variant>
      <vt:variant>
        <vt:i4>0</vt:i4>
      </vt:variant>
      <vt:variant>
        <vt:i4>5</vt:i4>
      </vt:variant>
      <vt:variant>
        <vt:lpwstr>http://fr.wikipedia.org/wiki/1973</vt:lpwstr>
      </vt:variant>
      <vt:variant>
        <vt:lpwstr/>
      </vt:variant>
      <vt:variant>
        <vt:i4>4587596</vt:i4>
      </vt:variant>
      <vt:variant>
        <vt:i4>63</vt:i4>
      </vt:variant>
      <vt:variant>
        <vt:i4>0</vt:i4>
      </vt:variant>
      <vt:variant>
        <vt:i4>5</vt:i4>
      </vt:variant>
      <vt:variant>
        <vt:lpwstr>http://fr.wikipedia.org/wiki/Gratte-ciel</vt:lpwstr>
      </vt:variant>
      <vt:variant>
        <vt:lpwstr/>
      </vt:variant>
      <vt:variant>
        <vt:i4>786493</vt:i4>
      </vt:variant>
      <vt:variant>
        <vt:i4>60</vt:i4>
      </vt:variant>
      <vt:variant>
        <vt:i4>0</vt:i4>
      </vt:variant>
      <vt:variant>
        <vt:i4>5</vt:i4>
      </vt:variant>
      <vt:variant>
        <vt:lpwstr>http://fr.wikipedia.org/w/index.php?title=Roger_Saubot&amp;action=edit</vt:lpwstr>
      </vt:variant>
      <vt:variant>
        <vt:lpwstr/>
      </vt:variant>
      <vt:variant>
        <vt:i4>1703952</vt:i4>
      </vt:variant>
      <vt:variant>
        <vt:i4>57</vt:i4>
      </vt:variant>
      <vt:variant>
        <vt:i4>0</vt:i4>
      </vt:variant>
      <vt:variant>
        <vt:i4>5</vt:i4>
      </vt:variant>
      <vt:variant>
        <vt:lpwstr>http://fr.wikipedia.org/wiki/1972</vt:lpwstr>
      </vt:variant>
      <vt:variant>
        <vt:lpwstr/>
      </vt:variant>
      <vt:variant>
        <vt:i4>1769488</vt:i4>
      </vt:variant>
      <vt:variant>
        <vt:i4>54</vt:i4>
      </vt:variant>
      <vt:variant>
        <vt:i4>0</vt:i4>
      </vt:variant>
      <vt:variant>
        <vt:i4>5</vt:i4>
      </vt:variant>
      <vt:variant>
        <vt:lpwstr>http://fr.wikipedia.org/wiki/1969</vt:lpwstr>
      </vt:variant>
      <vt:variant>
        <vt:lpwstr/>
      </vt:variant>
      <vt:variant>
        <vt:i4>6946929</vt:i4>
      </vt:variant>
      <vt:variant>
        <vt:i4>51</vt:i4>
      </vt:variant>
      <vt:variant>
        <vt:i4>0</vt:i4>
      </vt:variant>
      <vt:variant>
        <vt:i4>5</vt:i4>
      </vt:variant>
      <vt:variant>
        <vt:lpwstr>http://fr.wikipedia.org/wiki/Le_Bon_March%C3%A9</vt:lpwstr>
      </vt:variant>
      <vt:variant>
        <vt:lpwstr/>
      </vt:variant>
      <vt:variant>
        <vt:i4>4784185</vt:i4>
      </vt:variant>
      <vt:variant>
        <vt:i4>48</vt:i4>
      </vt:variant>
      <vt:variant>
        <vt:i4>0</vt:i4>
      </vt:variant>
      <vt:variant>
        <vt:i4>5</vt:i4>
      </vt:variant>
      <vt:variant>
        <vt:lpwstr>http://fr.wikipedia.org/wiki/La_Samaritaine</vt:lpwstr>
      </vt:variant>
      <vt:variant>
        <vt:lpwstr/>
      </vt:variant>
      <vt:variant>
        <vt:i4>6225994</vt:i4>
      </vt:variant>
      <vt:variant>
        <vt:i4>45</vt:i4>
      </vt:variant>
      <vt:variant>
        <vt:i4>0</vt:i4>
      </vt:variant>
      <vt:variant>
        <vt:i4>5</vt:i4>
      </vt:variant>
      <vt:variant>
        <vt:lpwstr>http://fr.wikipedia.org/w/index.php?title=BHV&amp;action=edit</vt:lpwstr>
      </vt:variant>
      <vt:variant>
        <vt:lpwstr/>
      </vt:variant>
      <vt:variant>
        <vt:i4>983078</vt:i4>
      </vt:variant>
      <vt:variant>
        <vt:i4>42</vt:i4>
      </vt:variant>
      <vt:variant>
        <vt:i4>0</vt:i4>
      </vt:variant>
      <vt:variant>
        <vt:i4>5</vt:i4>
      </vt:variant>
      <vt:variant>
        <vt:lpwstr>http://fr.wikipedia.org/w/index.php?title=Grands_magasins_du_Printemps&amp;action=edit</vt:lpwstr>
      </vt:variant>
      <vt:variant>
        <vt:lpwstr/>
      </vt:variant>
      <vt:variant>
        <vt:i4>62</vt:i4>
      </vt:variant>
      <vt:variant>
        <vt:i4>39</vt:i4>
      </vt:variant>
      <vt:variant>
        <vt:i4>0</vt:i4>
      </vt:variant>
      <vt:variant>
        <vt:i4>5</vt:i4>
      </vt:variant>
      <vt:variant>
        <vt:lpwstr>http://fr.wikipedia.org/wiki/Yves_Saint-Laurent</vt:lpwstr>
      </vt:variant>
      <vt:variant>
        <vt:lpwstr/>
      </vt:variant>
      <vt:variant>
        <vt:i4>1572946</vt:i4>
      </vt:variant>
      <vt:variant>
        <vt:i4>36</vt:i4>
      </vt:variant>
      <vt:variant>
        <vt:i4>0</vt:i4>
      </vt:variant>
      <vt:variant>
        <vt:i4>5</vt:i4>
      </vt:variant>
      <vt:variant>
        <vt:lpwstr>http://fr.wikipedia.org/wiki/Cacharel</vt:lpwstr>
      </vt:variant>
      <vt:variant>
        <vt:lpwstr/>
      </vt:variant>
      <vt:variant>
        <vt:i4>5177391</vt:i4>
      </vt:variant>
      <vt:variant>
        <vt:i4>33</vt:i4>
      </vt:variant>
      <vt:variant>
        <vt:i4>0</vt:i4>
      </vt:variant>
      <vt:variant>
        <vt:i4>5</vt:i4>
      </vt:variant>
      <vt:variant>
        <vt:lpwstr>http://fr.wikipedia.org/wiki/Pierre_Cardin</vt:lpwstr>
      </vt:variant>
      <vt:variant>
        <vt:lpwstr/>
      </vt:variant>
      <vt:variant>
        <vt:i4>4456498</vt:i4>
      </vt:variant>
      <vt:variant>
        <vt:i4>30</vt:i4>
      </vt:variant>
      <vt:variant>
        <vt:i4>0</vt:i4>
      </vt:variant>
      <vt:variant>
        <vt:i4>5</vt:i4>
      </vt:variant>
      <vt:variant>
        <vt:lpwstr>http://fr.wikipedia.org/wiki/Daniel_Hechter</vt:lpwstr>
      </vt:variant>
      <vt:variant>
        <vt:lpwstr/>
      </vt:variant>
      <vt:variant>
        <vt:i4>1376326</vt:i4>
      </vt:variant>
      <vt:variant>
        <vt:i4>27</vt:i4>
      </vt:variant>
      <vt:variant>
        <vt:i4>0</vt:i4>
      </vt:variant>
      <vt:variant>
        <vt:i4>5</vt:i4>
      </vt:variant>
      <vt:variant>
        <vt:lpwstr>http://fr.wikipedia.org/wiki/Mode</vt:lpwstr>
      </vt:variant>
      <vt:variant>
        <vt:lpwstr/>
      </vt:variant>
      <vt:variant>
        <vt:i4>2162770</vt:i4>
      </vt:variant>
      <vt:variant>
        <vt:i4>24</vt:i4>
      </vt:variant>
      <vt:variant>
        <vt:i4>0</vt:i4>
      </vt:variant>
      <vt:variant>
        <vt:i4>5</vt:i4>
      </vt:variant>
      <vt:variant>
        <vt:lpwstr>http://fr.wikipedia.org/wiki/Tour_Eiffel</vt:lpwstr>
      </vt:variant>
      <vt:variant>
        <vt:lpwstr/>
      </vt:variant>
      <vt:variant>
        <vt:i4>7012419</vt:i4>
      </vt:variant>
      <vt:variant>
        <vt:i4>21</vt:i4>
      </vt:variant>
      <vt:variant>
        <vt:i4>0</vt:i4>
      </vt:variant>
      <vt:variant>
        <vt:i4>5</vt:i4>
      </vt:variant>
      <vt:variant>
        <vt:lpwstr>http://fr.wikipedia.org/w/index.php?title=Style_byzantin&amp;action=edit</vt:lpwstr>
      </vt:variant>
      <vt:variant>
        <vt:lpwstr/>
      </vt:variant>
      <vt:variant>
        <vt:i4>1048669</vt:i4>
      </vt:variant>
      <vt:variant>
        <vt:i4>18</vt:i4>
      </vt:variant>
      <vt:variant>
        <vt:i4>0</vt:i4>
      </vt:variant>
      <vt:variant>
        <vt:i4>5</vt:i4>
      </vt:variant>
      <vt:variant>
        <vt:lpwstr>http://fr.wikipedia.org/w/index.php?title=Rue_de_la_Chauss%C3%A9e_d%27Antin&amp;action=edit</vt:lpwstr>
      </vt:variant>
      <vt:variant>
        <vt:lpwstr/>
      </vt:variant>
      <vt:variant>
        <vt:i4>6225955</vt:i4>
      </vt:variant>
      <vt:variant>
        <vt:i4>15</vt:i4>
      </vt:variant>
      <vt:variant>
        <vt:i4>0</vt:i4>
      </vt:variant>
      <vt:variant>
        <vt:i4>5</vt:i4>
      </vt:variant>
      <vt:variant>
        <vt:lpwstr>http://fr.wikipedia.org/wiki/La_Fayette</vt:lpwstr>
      </vt:variant>
      <vt:variant>
        <vt:lpwstr/>
      </vt:variant>
      <vt:variant>
        <vt:i4>6946929</vt:i4>
      </vt:variant>
      <vt:variant>
        <vt:i4>12</vt:i4>
      </vt:variant>
      <vt:variant>
        <vt:i4>0</vt:i4>
      </vt:variant>
      <vt:variant>
        <vt:i4>5</vt:i4>
      </vt:variant>
      <vt:variant>
        <vt:lpwstr>http://fr.wikipedia.org/wiki/Le_Bon_March%C3%A9</vt:lpwstr>
      </vt:variant>
      <vt:variant>
        <vt:lpwstr/>
      </vt:variant>
      <vt:variant>
        <vt:i4>1048669</vt:i4>
      </vt:variant>
      <vt:variant>
        <vt:i4>9</vt:i4>
      </vt:variant>
      <vt:variant>
        <vt:i4>0</vt:i4>
      </vt:variant>
      <vt:variant>
        <vt:i4>5</vt:i4>
      </vt:variant>
      <vt:variant>
        <vt:lpwstr>http://fr.wikipedia.org/w/index.php?title=Rue_de_la_Chauss%C3%A9e_d%27Antin&amp;action=edit</vt:lpwstr>
      </vt:variant>
      <vt:variant>
        <vt:lpwstr/>
      </vt:variant>
      <vt:variant>
        <vt:i4>7012455</vt:i4>
      </vt:variant>
      <vt:variant>
        <vt:i4>6</vt:i4>
      </vt:variant>
      <vt:variant>
        <vt:i4>0</vt:i4>
      </vt:variant>
      <vt:variant>
        <vt:i4>5</vt:i4>
      </vt:variant>
      <vt:variant>
        <vt:lpwstr>http://fr.wikipedia.org/w/index.php?title=Rue_La_Fayette&amp;action=edit</vt:lpwstr>
      </vt:variant>
      <vt:variant>
        <vt:lpwstr/>
      </vt:variant>
      <vt:variant>
        <vt:i4>3866627</vt:i4>
      </vt:variant>
      <vt:variant>
        <vt:i4>3</vt:i4>
      </vt:variant>
      <vt:variant>
        <vt:i4>0</vt:i4>
      </vt:variant>
      <vt:variant>
        <vt:i4>5</vt:i4>
      </vt:variant>
      <vt:variant>
        <vt:lpwstr>http://fr.wikipedia.org/w/index.php?title=Alphonse_Kahn&amp;action=edit</vt:lpwstr>
      </vt:variant>
      <vt:variant>
        <vt:lpwstr/>
      </vt:variant>
      <vt:variant>
        <vt:i4>3211264</vt:i4>
      </vt:variant>
      <vt:variant>
        <vt:i4>0</vt:i4>
      </vt:variant>
      <vt:variant>
        <vt:i4>0</vt:i4>
      </vt:variant>
      <vt:variant>
        <vt:i4>5</vt:i4>
      </vt:variant>
      <vt:variant>
        <vt:lpwstr>http://fr.wikipedia.org/w/index.php?title=Th%C3%A9ophile_Bader&amp;action=edit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DES MONUMENTS DE PARIS</dc:title>
  <dc:subject/>
  <dc:creator>steff</dc:creator>
  <cp:keywords/>
  <dc:description/>
  <cp:lastModifiedBy>Stefan Gustafsson</cp:lastModifiedBy>
  <cp:revision>3</cp:revision>
  <cp:lastPrinted>2016-05-25T03:58:00Z</cp:lastPrinted>
  <dcterms:created xsi:type="dcterms:W3CDTF">2016-05-25T03:58:00Z</dcterms:created>
  <dcterms:modified xsi:type="dcterms:W3CDTF">2016-05-25T03:58:00Z</dcterms:modified>
</cp:coreProperties>
</file>