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0D" w:rsidRDefault="001D5567" w:rsidP="00600D5B">
      <w:pPr>
        <w:pStyle w:val="Ingetavstnd"/>
        <w:rPr>
          <w:lang w:val="fr-FR" w:eastAsia="sv-SE"/>
        </w:rPr>
      </w:pPr>
      <w:r>
        <w:rPr>
          <w:lang w:val="fr-FR" w:eastAsia="sv-SE"/>
        </w:rPr>
        <w:t xml:space="preserve">CODE </w:t>
      </w:r>
      <w:r w:rsidR="00C47A0D" w:rsidRPr="00433F0F">
        <w:rPr>
          <w:lang w:val="fr-FR" w:eastAsia="sv-SE"/>
        </w:rPr>
        <w:t>FRANÇAIS</w:t>
      </w:r>
      <w:r w:rsidR="00600D5B">
        <w:rPr>
          <w:lang w:val="fr-FR" w:eastAsia="sv-SE"/>
        </w:rPr>
        <w:t xml:space="preserve"> NIVEAU 5 (100 poäng) ; </w:t>
      </w:r>
      <w:hyperlink r:id="rId4" w:history="1">
        <w:r w:rsidR="00052EAA" w:rsidRPr="00622086">
          <w:rPr>
            <w:rStyle w:val="Hyperlnk"/>
            <w:lang w:val="fr-FR" w:eastAsia="sv-SE"/>
          </w:rPr>
          <w:t>gustafsson@gmx.fr</w:t>
        </w:r>
      </w:hyperlink>
    </w:p>
    <w:p w:rsidR="00052EAA" w:rsidRDefault="00052EAA" w:rsidP="00600D5B">
      <w:pPr>
        <w:pStyle w:val="Ingetavstnd"/>
        <w:rPr>
          <w:lang w:val="fr-FR" w:eastAsia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052EAA" w:rsidRPr="009A1298" w:rsidTr="00B3787D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052EAA" w:rsidRPr="001D5567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052EAA" w:rsidRPr="009A1298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52EAA" w:rsidRPr="009A1298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052EAA" w:rsidRPr="009A1298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052EAA" w:rsidRPr="009A1298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052EAA" w:rsidRPr="009A1298" w:rsidRDefault="00052EAA" w:rsidP="00B3787D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2E3A11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2E3A11" w:rsidRPr="001D5567" w:rsidRDefault="002E3A11" w:rsidP="002E3A11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läsförståelse av aktuella texter</w:t>
            </w:r>
          </w:p>
        </w:tc>
        <w:tc>
          <w:tcPr>
            <w:tcW w:w="1797" w:type="dxa"/>
            <w:vAlign w:val="center"/>
          </w:tcPr>
          <w:p w:rsidR="002E3A11" w:rsidRPr="009A1298" w:rsidRDefault="002E3A11" w:rsidP="002E3A11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 xml:space="preserve">aktuella </w:t>
            </w:r>
            <w:r w:rsidRPr="009A1298">
              <w:rPr>
                <w:sz w:val="20"/>
                <w:szCs w:val="20"/>
              </w:rPr>
              <w:t>franska texter och utifrån dessa besvara</w:t>
            </w:r>
            <w:r>
              <w:rPr>
                <w:sz w:val="20"/>
                <w:szCs w:val="20"/>
              </w:rPr>
              <w:t xml:space="preserve"> och ställa</w:t>
            </w:r>
            <w:r w:rsidRPr="009A1298">
              <w:rPr>
                <w:sz w:val="20"/>
                <w:szCs w:val="20"/>
              </w:rPr>
              <w:t xml:space="preserve"> frågor på begriplig franska</w:t>
            </w:r>
          </w:p>
        </w:tc>
        <w:tc>
          <w:tcPr>
            <w:tcW w:w="1394" w:type="dxa"/>
            <w:vAlign w:val="center"/>
          </w:tcPr>
          <w:p w:rsidR="002E3A11" w:rsidRPr="009A1298" w:rsidRDefault="002E3A11" w:rsidP="002E3A11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 xml:space="preserve">aktuella </w:t>
            </w:r>
            <w:r w:rsidRPr="009A1298">
              <w:rPr>
                <w:sz w:val="20"/>
                <w:szCs w:val="20"/>
              </w:rPr>
              <w:t>franska 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2E3A11" w:rsidRPr="009A1298" w:rsidRDefault="002E3A11" w:rsidP="00C9451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 xml:space="preserve">aktuella </w:t>
            </w:r>
            <w:r w:rsidRPr="009A1298">
              <w:rPr>
                <w:sz w:val="20"/>
                <w:szCs w:val="20"/>
              </w:rPr>
              <w:t>franska texter och utifrån dessa besvara</w:t>
            </w:r>
            <w:r w:rsidR="00C9451E">
              <w:rPr>
                <w:sz w:val="20"/>
                <w:szCs w:val="20"/>
              </w:rPr>
              <w:t xml:space="preserve"> och ställa</w:t>
            </w:r>
            <w:r w:rsidRPr="009A1298">
              <w:rPr>
                <w:sz w:val="20"/>
                <w:szCs w:val="20"/>
              </w:rPr>
              <w:t xml:space="preserve"> frågor på </w:t>
            </w:r>
            <w:r w:rsidR="00C9451E">
              <w:rPr>
                <w:sz w:val="20"/>
                <w:szCs w:val="20"/>
              </w:rPr>
              <w:t>mycket korrekt</w:t>
            </w:r>
            <w:r w:rsidRPr="009A1298">
              <w:rPr>
                <w:sz w:val="20"/>
                <w:szCs w:val="20"/>
              </w:rPr>
              <w:t xml:space="preserve"> franska och med egna meningskonstruktioner</w:t>
            </w:r>
          </w:p>
        </w:tc>
        <w:tc>
          <w:tcPr>
            <w:tcW w:w="1394" w:type="dxa"/>
            <w:vAlign w:val="center"/>
          </w:tcPr>
          <w:p w:rsidR="002E3A11" w:rsidRPr="009A1298" w:rsidRDefault="002E3A11" w:rsidP="002E3A11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 xml:space="preserve">aktuella </w:t>
            </w:r>
            <w:r w:rsidRPr="009A1298">
              <w:rPr>
                <w:sz w:val="20"/>
                <w:szCs w:val="20"/>
              </w:rPr>
              <w:t xml:space="preserve">franska texter och utifrån dessa besvara </w:t>
            </w:r>
            <w:r w:rsidR="00C9451E">
              <w:rPr>
                <w:sz w:val="20"/>
                <w:szCs w:val="20"/>
              </w:rPr>
              <w:t xml:space="preserve">och ställa </w:t>
            </w:r>
            <w:r w:rsidRPr="009A1298">
              <w:rPr>
                <w:sz w:val="20"/>
                <w:szCs w:val="20"/>
              </w:rPr>
              <w:t xml:space="preserve">frågor på mycket korrekt franska </w:t>
            </w:r>
          </w:p>
        </w:tc>
        <w:tc>
          <w:tcPr>
            <w:tcW w:w="2052" w:type="dxa"/>
            <w:vAlign w:val="center"/>
          </w:tcPr>
          <w:p w:rsidR="002E3A11" w:rsidRPr="009A1298" w:rsidRDefault="002E3A11" w:rsidP="002E3A11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 xml:space="preserve">aktuella </w:t>
            </w:r>
            <w:r w:rsidRPr="009A1298">
              <w:rPr>
                <w:sz w:val="20"/>
                <w:szCs w:val="20"/>
              </w:rPr>
              <w:t xml:space="preserve">franska texter och utifrån dessa besvara </w:t>
            </w:r>
            <w:r w:rsidR="00C9451E">
              <w:rPr>
                <w:sz w:val="20"/>
                <w:szCs w:val="20"/>
              </w:rPr>
              <w:t xml:space="preserve">och ställa </w:t>
            </w:r>
            <w:r w:rsidRPr="009A1298">
              <w:rPr>
                <w:sz w:val="20"/>
                <w:szCs w:val="20"/>
              </w:rPr>
              <w:t>frågor på mycket korrekt</w:t>
            </w:r>
            <w:r w:rsidR="00C9451E">
              <w:rPr>
                <w:sz w:val="20"/>
                <w:szCs w:val="20"/>
              </w:rPr>
              <w:t>, varierad</w:t>
            </w:r>
            <w:r w:rsidRPr="009A1298">
              <w:rPr>
                <w:sz w:val="20"/>
                <w:szCs w:val="20"/>
              </w:rPr>
              <w:t xml:space="preserve"> franska och klara av att formulera egna frågor och svar</w:t>
            </w:r>
          </w:p>
        </w:tc>
      </w:tr>
      <w:tr w:rsidR="00C9451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C9451E" w:rsidRPr="001D5567" w:rsidRDefault="00C9451E" w:rsidP="00C9451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fransk ordkunskap och ordbildning</w:t>
            </w:r>
          </w:p>
        </w:tc>
        <w:tc>
          <w:tcPr>
            <w:tcW w:w="1797" w:type="dxa"/>
            <w:vAlign w:val="center"/>
          </w:tcPr>
          <w:p w:rsidR="00C9451E" w:rsidRPr="009A1298" w:rsidRDefault="00C9451E" w:rsidP="00C9451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  <w:r>
              <w:rPr>
                <w:sz w:val="20"/>
                <w:szCs w:val="20"/>
              </w:rPr>
              <w:t>, ha viss kännedom om några prefix och suffix</w:t>
            </w:r>
          </w:p>
        </w:tc>
        <w:tc>
          <w:tcPr>
            <w:tcW w:w="1394" w:type="dxa"/>
            <w:vAlign w:val="center"/>
          </w:tcPr>
          <w:p w:rsidR="00C9451E" w:rsidRPr="009A1298" w:rsidRDefault="00C9451E" w:rsidP="00C94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9451E" w:rsidRPr="009A1298" w:rsidRDefault="00C9451E" w:rsidP="00C9451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härleda okända franska ord och </w:t>
            </w:r>
            <w:r>
              <w:rPr>
                <w:sz w:val="20"/>
                <w:szCs w:val="20"/>
              </w:rPr>
              <w:t xml:space="preserve">mycket väl </w:t>
            </w:r>
            <w:r w:rsidRPr="009A1298">
              <w:rPr>
                <w:sz w:val="20"/>
                <w:szCs w:val="20"/>
              </w:rPr>
              <w:t>förstå dess betydelse</w:t>
            </w:r>
            <w:r>
              <w:rPr>
                <w:sz w:val="20"/>
                <w:szCs w:val="20"/>
              </w:rPr>
              <w:t xml:space="preserve"> samt känna franska prefix och suffix</w:t>
            </w:r>
          </w:p>
        </w:tc>
        <w:tc>
          <w:tcPr>
            <w:tcW w:w="1394" w:type="dxa"/>
            <w:vAlign w:val="center"/>
          </w:tcPr>
          <w:p w:rsidR="00C9451E" w:rsidRPr="009A1298" w:rsidRDefault="00C9451E" w:rsidP="00C94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9451E" w:rsidRPr="009A1298" w:rsidRDefault="00C9451E" w:rsidP="00C9451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  <w:r>
              <w:rPr>
                <w:sz w:val="20"/>
                <w:szCs w:val="20"/>
              </w:rPr>
              <w:t>, kunna använda prefix och suffix för ökad förståelse och ökad ordinlärning</w:t>
            </w:r>
          </w:p>
        </w:tc>
      </w:tr>
      <w:tr w:rsidR="00C9451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C9451E" w:rsidRPr="001D5567" w:rsidRDefault="00C9451E" w:rsidP="00C9451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praktisk grammatik</w:t>
            </w:r>
          </w:p>
        </w:tc>
        <w:tc>
          <w:tcPr>
            <w:tcW w:w="1797" w:type="dxa"/>
            <w:vAlign w:val="center"/>
          </w:tcPr>
          <w:p w:rsidR="00C9451E" w:rsidRDefault="00094782" w:rsidP="00C94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den franska grammatiken i praktiska, vardagliga situationer på ett begripligt sätt</w:t>
            </w:r>
          </w:p>
        </w:tc>
        <w:tc>
          <w:tcPr>
            <w:tcW w:w="1394" w:type="dxa"/>
            <w:vAlign w:val="center"/>
          </w:tcPr>
          <w:p w:rsidR="00C9451E" w:rsidRDefault="00C9451E" w:rsidP="00C9451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2" w:type="dxa"/>
            <w:vAlign w:val="center"/>
          </w:tcPr>
          <w:p w:rsidR="00C9451E" w:rsidRDefault="00094782" w:rsidP="00C94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den franska grammatiken i vardagligt tal och på ett praktiskt sätt där man mycket väl förstår och gör sig förstådd på målspråket</w:t>
            </w:r>
          </w:p>
        </w:tc>
        <w:tc>
          <w:tcPr>
            <w:tcW w:w="1394" w:type="dxa"/>
            <w:vAlign w:val="center"/>
          </w:tcPr>
          <w:p w:rsidR="00C9451E" w:rsidRDefault="00C9451E" w:rsidP="00C94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9451E" w:rsidRDefault="00094782" w:rsidP="00C94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förmåga att praktiskt använda grammatiska företeelser i vardagsspråk och på ett mycket korrekt och varierat språk</w:t>
            </w:r>
          </w:p>
        </w:tc>
      </w:tr>
      <w:tr w:rsidR="00B3787D" w:rsidRPr="009A1298" w:rsidTr="00B3787D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1D5567" w:rsidRDefault="00B3787D" w:rsidP="00B3787D">
            <w:pPr>
              <w:pStyle w:val="Ingetavstnd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vardags</w:t>
            </w:r>
            <w:r w:rsidR="00980172">
              <w:rPr>
                <w:b/>
                <w:sz w:val="20"/>
                <w:szCs w:val="20"/>
              </w:rPr>
              <w:t>-</w:t>
            </w:r>
            <w:r w:rsidRPr="001D5567">
              <w:rPr>
                <w:b/>
                <w:sz w:val="20"/>
                <w:szCs w:val="20"/>
              </w:rPr>
              <w:t xml:space="preserve">situationer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förstådd i </w:t>
            </w:r>
            <w:r>
              <w:rPr>
                <w:sz w:val="20"/>
                <w:szCs w:val="20"/>
              </w:rPr>
              <w:t>olika typer av vardagliga situationer</w:t>
            </w:r>
            <w:r w:rsidRPr="009A1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 hjälp av ett någorlunda korrekt språkbruk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</w:t>
            </w:r>
            <w:r>
              <w:rPr>
                <w:sz w:val="20"/>
                <w:szCs w:val="20"/>
              </w:rPr>
              <w:t xml:space="preserve">väl </w:t>
            </w:r>
            <w:r w:rsidRPr="009A1298">
              <w:rPr>
                <w:sz w:val="20"/>
                <w:szCs w:val="20"/>
              </w:rPr>
              <w:t xml:space="preserve">förstådd i </w:t>
            </w:r>
            <w:r>
              <w:rPr>
                <w:sz w:val="20"/>
                <w:szCs w:val="20"/>
              </w:rPr>
              <w:t>olika typer av vardagliga situationer</w:t>
            </w:r>
            <w:r w:rsidRPr="009A1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 hjälp av ett korrekt språkbruk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 xml:space="preserve">olika typer av vardagliga </w:t>
            </w:r>
            <w:r w:rsidRPr="009A1298">
              <w:rPr>
                <w:sz w:val="20"/>
                <w:szCs w:val="20"/>
              </w:rPr>
              <w:t>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980172">
              <w:rPr>
                <w:sz w:val="20"/>
                <w:szCs w:val="20"/>
              </w:rPr>
              <w:t>situationer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återberätta texter, notiser, rubriker</w:t>
            </w:r>
          </w:p>
        </w:tc>
        <w:tc>
          <w:tcPr>
            <w:tcW w:w="1797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återberätta olika typer av texter, notiser och rubriker på ett någorlunda korrekt sätt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återberätta olika typer av texter, notiser och rubriker med ett mycket korrekt språkbruk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och välformulerat kunna återberätta olika typer av texter, notiser och rubriker med ett mycket korrekt och varierat språkbruk</w:t>
            </w:r>
          </w:p>
        </w:tc>
      </w:tr>
      <w:tr w:rsidR="00B3787D" w:rsidRPr="009A1298" w:rsidTr="00B3787D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1D5567" w:rsidRDefault="00B3787D" w:rsidP="00B3787D">
            <w:pPr>
              <w:pStyle w:val="Ingetavstnd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bokläsning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god förståelse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stor förståelse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stor självständighet och mycket god förståelse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diskussioner och tema</w:t>
            </w:r>
          </w:p>
        </w:tc>
        <w:tc>
          <w:tcPr>
            <w:tcW w:w="1797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på ett begripligt sätt och med enklare meningar och ord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med hjälp av ett mycket korrekt språkbruk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delta i diskussioner i olika sammanhang, kunna föra en diskussion, kunna förstå och förklara sig med ett mycket korrekt språkbruk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lastRenderedPageBreak/>
              <w:t>personlighetsbeskrivningar genom t.ex. personlighetstester</w:t>
            </w:r>
          </w:p>
        </w:tc>
        <w:tc>
          <w:tcPr>
            <w:tcW w:w="1797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och förstå enklare personlighetsbeskrivningar särskilt i form av tester</w:t>
            </w:r>
          </w:p>
        </w:tc>
        <w:tc>
          <w:tcPr>
            <w:tcW w:w="1394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förstå och utföra olika typer av personlighetsbeskrivningar framförallt i form av personlighetstester</w:t>
            </w:r>
          </w:p>
        </w:tc>
        <w:tc>
          <w:tcPr>
            <w:tcW w:w="1394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person- och personlighetsbeskrivningar, dels genom egen förståelse, dels genom egen kommunikation med ett mycket korrekt språkbruk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frågekonstruktioner i form av tester</w:t>
            </w:r>
          </w:p>
        </w:tc>
        <w:tc>
          <w:tcPr>
            <w:tcW w:w="1797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förstå och formulera enklare frågekonstruktioner i olika tester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förstå och mycket korrekt kunna formulera frågeställningar och göra frågekonstruktioner i olika tester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frågekonstruktioner och formuleringar i tester, kunna använda ett mycket korrekt språkbruk för egna konstruktioner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kommentera händelser och nyheter</w:t>
            </w:r>
          </w:p>
        </w:tc>
        <w:tc>
          <w:tcPr>
            <w:tcW w:w="1797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kommentera händelser och nyheter på ett någorlunda korrekt sätt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kommentera händelser och nyheter med ett mycket korrekt språkbruk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och välformulerat kunna kommentera händelser och nyheter med ett mycket korrekt och varierat språkbruk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texter och reportage om franska företeelser och händelser</w:t>
            </w:r>
          </w:p>
        </w:tc>
        <w:tc>
          <w:tcPr>
            <w:tcW w:w="1797" w:type="dxa"/>
            <w:vAlign w:val="center"/>
          </w:tcPr>
          <w:p w:rsidR="0037609E" w:rsidRPr="009A1298" w:rsidRDefault="0037609E" w:rsidP="0037609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>texter och reportage om franska företeelser och händelser och ha viss förståelse för innehåll och språkbruk</w:t>
            </w:r>
          </w:p>
        </w:tc>
        <w:tc>
          <w:tcPr>
            <w:tcW w:w="1394" w:type="dxa"/>
            <w:vAlign w:val="center"/>
          </w:tcPr>
          <w:p w:rsidR="0037609E" w:rsidRPr="009A1298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Pr="009A1298" w:rsidRDefault="0037609E" w:rsidP="0037609E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>texter och reportage om franska företeelser och händelser och ha god förståelse för innehåll och språkbruk, kunna återberätta på korrekt franska</w:t>
            </w:r>
          </w:p>
        </w:tc>
        <w:tc>
          <w:tcPr>
            <w:tcW w:w="1394" w:type="dxa"/>
            <w:vAlign w:val="center"/>
          </w:tcPr>
          <w:p w:rsidR="0037609E" w:rsidRPr="009A1298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Pr="009A1298" w:rsidRDefault="0037609E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obehindrat </w:t>
            </w:r>
            <w:r w:rsidRPr="009A1298">
              <w:rPr>
                <w:sz w:val="20"/>
                <w:szCs w:val="20"/>
              </w:rPr>
              <w:t xml:space="preserve">kunna läsa </w:t>
            </w:r>
            <w:r>
              <w:rPr>
                <w:sz w:val="20"/>
                <w:szCs w:val="20"/>
              </w:rPr>
              <w:t>texter och reportage om franska företeelser och händelser och ha mycket god förståelse för innehåll och språkbruk, kunna kommentera, sammanfatta och redogöra med hjälp av ett mycket korrekt språkbruk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uttrycka åsikter och debattera</w:t>
            </w:r>
          </w:p>
        </w:tc>
        <w:tc>
          <w:tcPr>
            <w:tcW w:w="1797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</w:p>
        </w:tc>
        <w:tc>
          <w:tcPr>
            <w:tcW w:w="1394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2242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utförligt berätta vad han/hon tycker om olika saker</w:t>
            </w:r>
          </w:p>
        </w:tc>
        <w:tc>
          <w:tcPr>
            <w:tcW w:w="1394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2052" w:type="dxa"/>
            <w:vAlign w:val="center"/>
          </w:tcPr>
          <w:p w:rsidR="0037609E" w:rsidRPr="00D23364" w:rsidRDefault="0037609E" w:rsidP="0037609E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 xml:space="preserve">eleven kan mycket varierande uttrycka sina åsikter och föra </w:t>
            </w:r>
            <w:r>
              <w:rPr>
                <w:sz w:val="20"/>
                <w:szCs w:val="20"/>
              </w:rPr>
              <w:t xml:space="preserve">avancerade </w:t>
            </w:r>
            <w:r w:rsidRPr="00D23364">
              <w:rPr>
                <w:sz w:val="20"/>
                <w:szCs w:val="20"/>
              </w:rPr>
              <w:t>diskussion</w:t>
            </w:r>
            <w:r>
              <w:rPr>
                <w:sz w:val="20"/>
                <w:szCs w:val="20"/>
              </w:rPr>
              <w:t>er</w:t>
            </w:r>
            <w:r w:rsidRPr="00D233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inom olika ämnesområden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filmkunskap</w:t>
            </w:r>
          </w:p>
        </w:tc>
        <w:tc>
          <w:tcPr>
            <w:tcW w:w="1797" w:type="dxa"/>
            <w:vAlign w:val="center"/>
          </w:tcPr>
          <w:p w:rsidR="0037609E" w:rsidRDefault="007406B0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tittat på och förstått delar av franska filmer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Default="007406B0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tittat på och förstått huvudinnehållet i franska filmer</w:t>
            </w:r>
          </w:p>
        </w:tc>
        <w:tc>
          <w:tcPr>
            <w:tcW w:w="1394" w:type="dxa"/>
            <w:vAlign w:val="center"/>
          </w:tcPr>
          <w:p w:rsidR="0037609E" w:rsidRDefault="0037609E" w:rsidP="0037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Default="007406B0" w:rsidP="0037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tittat på och förstått det mesta av huvudinnehåll och händelser i franska filmer</w:t>
            </w:r>
          </w:p>
        </w:tc>
      </w:tr>
      <w:tr w:rsidR="00B3787D" w:rsidRPr="009A1298" w:rsidTr="00B3787D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1D5567" w:rsidRDefault="00B3787D" w:rsidP="00B3787D">
            <w:pPr>
              <w:pStyle w:val="Ingetavstnd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vardagsfraser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kunskap om olika vardagsfraser i olika situationer och kunna använda dessa på ett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kunskap och kännedom om olika vardagsfraser i olika situationer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7D" w:rsidRPr="009A1298" w:rsidRDefault="00B3787D" w:rsidP="00B3787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vardagsfraser i olika situationer och kunna använda dessa mycket korrekt och varierat i olika muntliga och skriftliga situationer</w:t>
            </w:r>
            <w:r w:rsidR="004E7432">
              <w:rPr>
                <w:sz w:val="20"/>
                <w:szCs w:val="20"/>
              </w:rPr>
              <w:t xml:space="preserve"> och med stort språkligt flyt</w:t>
            </w:r>
          </w:p>
        </w:tc>
      </w:tr>
      <w:tr w:rsidR="0037609E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7609E" w:rsidRPr="001D5567" w:rsidRDefault="0037609E" w:rsidP="0037609E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 xml:space="preserve">indefinita pronomen, </w:t>
            </w:r>
            <w:r w:rsidRPr="00980172">
              <w:rPr>
                <w:b/>
                <w:sz w:val="18"/>
                <w:szCs w:val="18"/>
              </w:rPr>
              <w:t>demonstrativa</w:t>
            </w:r>
            <w:r w:rsidRPr="001D5567">
              <w:rPr>
                <w:b/>
                <w:sz w:val="20"/>
                <w:szCs w:val="20"/>
              </w:rPr>
              <w:t xml:space="preserve"> pronomen, </w:t>
            </w:r>
            <w:r w:rsidRPr="001D5567">
              <w:rPr>
                <w:b/>
                <w:sz w:val="20"/>
                <w:szCs w:val="20"/>
              </w:rPr>
              <w:lastRenderedPageBreak/>
              <w:t>prepositioner och verbkonstruk</w:t>
            </w:r>
            <w:r w:rsidR="00980172">
              <w:rPr>
                <w:b/>
                <w:sz w:val="20"/>
                <w:szCs w:val="20"/>
              </w:rPr>
              <w:t>-</w:t>
            </w:r>
            <w:r w:rsidRPr="001D5567">
              <w:rPr>
                <w:b/>
                <w:sz w:val="20"/>
                <w:szCs w:val="20"/>
              </w:rPr>
              <w:t>tioner med preposition</w:t>
            </w:r>
          </w:p>
        </w:tc>
        <w:tc>
          <w:tcPr>
            <w:tcW w:w="1797" w:type="dxa"/>
            <w:vAlign w:val="center"/>
          </w:tcPr>
          <w:p w:rsidR="0037609E" w:rsidRPr="009A1298" w:rsidRDefault="0037609E" w:rsidP="0037609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 viss kunskap om indefinita pronomen, demonstrativa </w:t>
            </w:r>
            <w:r>
              <w:rPr>
                <w:sz w:val="20"/>
                <w:szCs w:val="20"/>
              </w:rPr>
              <w:lastRenderedPageBreak/>
              <w:t>pronomen, prepositioner och verbkonstruktioner med preposition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37609E" w:rsidRPr="009A1298" w:rsidRDefault="0037609E" w:rsidP="0037609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7609E" w:rsidRPr="009A1298" w:rsidRDefault="0037609E" w:rsidP="0037609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god kunskap och kännedom om indefinita pronomen, demonstrativa </w:t>
            </w:r>
            <w:r>
              <w:rPr>
                <w:sz w:val="20"/>
                <w:szCs w:val="20"/>
              </w:rPr>
              <w:lastRenderedPageBreak/>
              <w:t>pronomen, prepositioner och verbkonstruktioner med preposition och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37609E" w:rsidRPr="009A1298" w:rsidRDefault="0037609E" w:rsidP="0037609E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7609E" w:rsidRPr="009A1298" w:rsidRDefault="0037609E" w:rsidP="0037609E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mycket väl behärska indefinita pronomen, demonstrativa pronomen, </w:t>
            </w:r>
            <w:r>
              <w:rPr>
                <w:sz w:val="20"/>
                <w:szCs w:val="20"/>
              </w:rPr>
              <w:lastRenderedPageBreak/>
              <w:t>prepositioner och verbkonstruktioner med preposition och kunna använda dessa mycket korrekt och varierat i olika muntliga och skriftliga situationer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lastRenderedPageBreak/>
              <w:t>ord- och meningsbild</w:t>
            </w:r>
            <w:r w:rsidR="00980172">
              <w:rPr>
                <w:b/>
                <w:sz w:val="20"/>
                <w:szCs w:val="20"/>
              </w:rPr>
              <w:t>-</w:t>
            </w:r>
            <w:r w:rsidRPr="001D5567">
              <w:rPr>
                <w:b/>
                <w:sz w:val="20"/>
                <w:szCs w:val="20"/>
              </w:rPr>
              <w:t>ning</w:t>
            </w:r>
          </w:p>
        </w:tc>
        <w:tc>
          <w:tcPr>
            <w:tcW w:w="1797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enklare konstruktioner</w:t>
            </w:r>
          </w:p>
        </w:tc>
        <w:tc>
          <w:tcPr>
            <w:tcW w:w="1394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konstruktioner med ett mycket korrekt språkbruk</w:t>
            </w:r>
          </w:p>
        </w:tc>
        <w:tc>
          <w:tcPr>
            <w:tcW w:w="1394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mycket grundligt </w:t>
            </w: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enklare och mer avancerade konstruktioner på ett mycket korrekt språk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återberätta och guida turister</w:t>
            </w:r>
          </w:p>
        </w:tc>
        <w:tc>
          <w:tcPr>
            <w:tcW w:w="1797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återge händelser, beskriva platser och monument på enklare franska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återge händelser, beskriva platser och monument både utförligt och med en mycket god språklig nivå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återge händelser, beskriva platser och monument med ett mycket korrekt och varierat språkbruk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repetera vardagssituationer</w:t>
            </w:r>
          </w:p>
        </w:tc>
        <w:tc>
          <w:tcPr>
            <w:tcW w:w="1797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meningar och  begripliga ord</w:t>
            </w:r>
          </w:p>
        </w:tc>
        <w:tc>
          <w:tcPr>
            <w:tcW w:w="1394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9A1298" w:rsidRDefault="00335ACA" w:rsidP="00335AC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980172">
              <w:rPr>
                <w:sz w:val="20"/>
                <w:szCs w:val="20"/>
              </w:rPr>
              <w:t>situationer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franska betygs</w:t>
            </w:r>
            <w:r w:rsidR="00980172">
              <w:rPr>
                <w:b/>
                <w:sz w:val="20"/>
                <w:szCs w:val="20"/>
              </w:rPr>
              <w:t>-</w:t>
            </w:r>
            <w:r w:rsidRPr="001D5567">
              <w:rPr>
                <w:b/>
                <w:sz w:val="20"/>
                <w:szCs w:val="20"/>
              </w:rPr>
              <w:t>systemet</w:t>
            </w:r>
          </w:p>
        </w:tc>
        <w:tc>
          <w:tcPr>
            <w:tcW w:w="1797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kännedom och kunna redogöra på enklare franska om det franska betygssystemet</w:t>
            </w:r>
          </w:p>
        </w:tc>
        <w:tc>
          <w:tcPr>
            <w:tcW w:w="1394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känna till och kunna redogöra för det franska betygssystemet på mycket korrekt franska</w:t>
            </w:r>
          </w:p>
        </w:tc>
        <w:tc>
          <w:tcPr>
            <w:tcW w:w="1394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redogöra, förklara och jämföra det franska betygssystemet gentemot t.ex. det svenska, språket skall vara mycket välformulerat och korrekt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980172" w:rsidRDefault="00335ACA" w:rsidP="00335ACA">
            <w:pPr>
              <w:jc w:val="center"/>
              <w:rPr>
                <w:b/>
                <w:sz w:val="18"/>
                <w:szCs w:val="18"/>
              </w:rPr>
            </w:pPr>
            <w:r w:rsidRPr="00980172">
              <w:rPr>
                <w:b/>
                <w:sz w:val="18"/>
                <w:szCs w:val="18"/>
              </w:rPr>
              <w:t>konversations</w:t>
            </w:r>
            <w:r w:rsidR="00980172" w:rsidRPr="00980172">
              <w:rPr>
                <w:b/>
                <w:sz w:val="18"/>
                <w:szCs w:val="18"/>
              </w:rPr>
              <w:t>-</w:t>
            </w:r>
            <w:r w:rsidRPr="00980172">
              <w:rPr>
                <w:b/>
                <w:sz w:val="18"/>
                <w:szCs w:val="18"/>
              </w:rPr>
              <w:t>ämnen</w:t>
            </w:r>
          </w:p>
        </w:tc>
        <w:tc>
          <w:tcPr>
            <w:tcW w:w="1797" w:type="dxa"/>
            <w:vAlign w:val="center"/>
          </w:tcPr>
          <w:p w:rsidR="00335ACA" w:rsidRDefault="007406B0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samtala på enklare franska i olika situationer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Default="007406B0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samtala i många olika situationer och med en mycket korrekt franska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D23364" w:rsidRDefault="007406B0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samtala i många olika typer av si</w:t>
            </w:r>
            <w:r w:rsidR="00723FBF">
              <w:rPr>
                <w:sz w:val="20"/>
                <w:szCs w:val="20"/>
              </w:rPr>
              <w:t>tuationer och med ett mycket korrekt och varierat språkbruk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uttrycka sig</w:t>
            </w:r>
          </w:p>
        </w:tc>
        <w:tc>
          <w:tcPr>
            <w:tcW w:w="1797" w:type="dxa"/>
            <w:vAlign w:val="center"/>
          </w:tcPr>
          <w:p w:rsidR="00335ACA" w:rsidRDefault="00723FBF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sig muntligt och skriftligt på målspråket på ett begripligt sätt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Default="00723FBF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sig på olika sätt på målspråket med ett mycket korrekt språkbruk</w:t>
            </w:r>
          </w:p>
        </w:tc>
        <w:tc>
          <w:tcPr>
            <w:tcW w:w="1394" w:type="dxa"/>
            <w:vAlign w:val="center"/>
          </w:tcPr>
          <w:p w:rsidR="00335ACA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D23364" w:rsidRDefault="00723FBF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sig obehindrat på målspråket, varierat, mycket korrekt och med bra flyt</w:t>
            </w:r>
          </w:p>
        </w:tc>
      </w:tr>
      <w:tr w:rsidR="00335ACA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335ACA" w:rsidRPr="001D5567" w:rsidRDefault="00335ACA" w:rsidP="00335ACA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t>framtids</w:t>
            </w:r>
            <w:r w:rsidR="00B3787D" w:rsidRPr="001D5567">
              <w:rPr>
                <w:b/>
                <w:sz w:val="20"/>
                <w:szCs w:val="20"/>
              </w:rPr>
              <w:t>-</w:t>
            </w:r>
            <w:r w:rsidRPr="001D5567">
              <w:rPr>
                <w:b/>
                <w:sz w:val="20"/>
                <w:szCs w:val="20"/>
              </w:rPr>
              <w:t>berättelser</w:t>
            </w:r>
          </w:p>
        </w:tc>
        <w:tc>
          <w:tcPr>
            <w:tcW w:w="1797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kunna </w:t>
            </w:r>
            <w:r w:rsidRPr="00EE0C6F">
              <w:rPr>
                <w:sz w:val="20"/>
                <w:szCs w:val="20"/>
              </w:rPr>
              <w:t>prata om framtid, framtidsplaner och drömmar</w:t>
            </w:r>
            <w:r>
              <w:rPr>
                <w:sz w:val="20"/>
                <w:szCs w:val="20"/>
              </w:rPr>
              <w:t xml:space="preserve"> på enkel </w:t>
            </w:r>
            <w:r>
              <w:rPr>
                <w:sz w:val="20"/>
                <w:szCs w:val="20"/>
              </w:rPr>
              <w:lastRenderedPageBreak/>
              <w:t>och begriplig franska</w:t>
            </w:r>
          </w:p>
        </w:tc>
        <w:tc>
          <w:tcPr>
            <w:tcW w:w="1394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kunna </w:t>
            </w:r>
            <w:r w:rsidRPr="00EE0C6F">
              <w:rPr>
                <w:sz w:val="20"/>
                <w:szCs w:val="20"/>
              </w:rPr>
              <w:t>prata om framtid, framtidsplaner och drömmar</w:t>
            </w:r>
            <w:r>
              <w:rPr>
                <w:sz w:val="20"/>
                <w:szCs w:val="20"/>
              </w:rPr>
              <w:t xml:space="preserve"> på mycket korrekt franska</w:t>
            </w:r>
          </w:p>
        </w:tc>
        <w:tc>
          <w:tcPr>
            <w:tcW w:w="1394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35ACA" w:rsidRPr="00D2336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kunna </w:t>
            </w:r>
            <w:r w:rsidRPr="00EE0C6F">
              <w:rPr>
                <w:sz w:val="20"/>
                <w:szCs w:val="20"/>
              </w:rPr>
              <w:t>prata om framtid, framtidsplaner och drömmar</w:t>
            </w:r>
            <w:r>
              <w:rPr>
                <w:sz w:val="20"/>
                <w:szCs w:val="20"/>
              </w:rPr>
              <w:t xml:space="preserve"> med ett varierat, mycket </w:t>
            </w:r>
            <w:r>
              <w:rPr>
                <w:sz w:val="20"/>
                <w:szCs w:val="20"/>
              </w:rPr>
              <w:lastRenderedPageBreak/>
              <w:t>korrekt och fullständigt begripligt språkbruk</w:t>
            </w:r>
          </w:p>
        </w:tc>
      </w:tr>
      <w:tr w:rsidR="00B3787D" w:rsidRPr="00D23364" w:rsidTr="00B3787D">
        <w:trPr>
          <w:trHeight w:val="1191"/>
        </w:trPr>
        <w:tc>
          <w:tcPr>
            <w:tcW w:w="1327" w:type="dxa"/>
            <w:vAlign w:val="center"/>
          </w:tcPr>
          <w:p w:rsidR="00B3787D" w:rsidRPr="001D5567" w:rsidRDefault="00B3787D" w:rsidP="00B3787D">
            <w:pPr>
              <w:jc w:val="center"/>
              <w:rPr>
                <w:b/>
                <w:sz w:val="20"/>
                <w:szCs w:val="20"/>
              </w:rPr>
            </w:pPr>
            <w:r w:rsidRPr="001D5567">
              <w:rPr>
                <w:b/>
                <w:sz w:val="20"/>
                <w:szCs w:val="20"/>
              </w:rPr>
              <w:lastRenderedPageBreak/>
              <w:t>grammatiska strukturer</w:t>
            </w:r>
          </w:p>
        </w:tc>
        <w:tc>
          <w:tcPr>
            <w:tcW w:w="1797" w:type="dxa"/>
            <w:vAlign w:val="center"/>
          </w:tcPr>
          <w:p w:rsidR="00B3787D" w:rsidRDefault="00B3787D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kännedom om de väsentligaste grammatiska konstruktionerna på målspråket och kunna använda dessa någorlunda korrekt</w:t>
            </w:r>
          </w:p>
        </w:tc>
        <w:tc>
          <w:tcPr>
            <w:tcW w:w="1394" w:type="dxa"/>
            <w:vAlign w:val="center"/>
          </w:tcPr>
          <w:p w:rsidR="00B3787D" w:rsidRPr="00D23364" w:rsidRDefault="00B3787D" w:rsidP="00B3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B3787D" w:rsidRDefault="00B3787D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kännedom om de grammatiska strukturerna på målspråket och kunna använda dessa mycket korrekt</w:t>
            </w:r>
          </w:p>
        </w:tc>
        <w:tc>
          <w:tcPr>
            <w:tcW w:w="1394" w:type="dxa"/>
            <w:vAlign w:val="center"/>
          </w:tcPr>
          <w:p w:rsidR="00B3787D" w:rsidRPr="00D23364" w:rsidRDefault="00B3787D" w:rsidP="00B3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3787D" w:rsidRDefault="00B3787D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kännedom om de grammatiska strukturerna på målspråket och kunna använda dessa varierat, med bra flyt och fullständigt korrekt</w:t>
            </w:r>
          </w:p>
        </w:tc>
      </w:tr>
    </w:tbl>
    <w:p w:rsidR="00157104" w:rsidRDefault="00157104"/>
    <w:p w:rsidR="00052EAA" w:rsidRPr="00052EAA" w:rsidRDefault="00052EAA" w:rsidP="00600D5B">
      <w:pPr>
        <w:pStyle w:val="Ingetavstnd"/>
        <w:rPr>
          <w:lang w:eastAsia="sv-SE"/>
        </w:rPr>
      </w:pPr>
    </w:p>
    <w:p w:rsidR="00052EAA" w:rsidRPr="00052EAA" w:rsidRDefault="00052EAA" w:rsidP="00600D5B">
      <w:pPr>
        <w:pStyle w:val="Ingetavstnd"/>
        <w:rPr>
          <w:lang w:eastAsia="sv-SE"/>
        </w:rPr>
      </w:pPr>
    </w:p>
    <w:p w:rsidR="00052EAA" w:rsidRPr="00052EAA" w:rsidRDefault="00052EAA" w:rsidP="00600D5B">
      <w:pPr>
        <w:pStyle w:val="Ingetavstnd"/>
        <w:rPr>
          <w:lang w:eastAsia="sv-SE"/>
        </w:rPr>
      </w:pPr>
    </w:p>
    <w:p w:rsidR="00CC2BB9" w:rsidRPr="00CC2BB9" w:rsidRDefault="00CC2BB9"/>
    <w:p w:rsidR="00CC2BB9" w:rsidRPr="00CC2BB9" w:rsidRDefault="00CC2BB9"/>
    <w:sectPr w:rsidR="00CC2BB9" w:rsidRPr="00CC2BB9" w:rsidSect="00372C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0D"/>
    <w:rsid w:val="00052EAA"/>
    <w:rsid w:val="0007086C"/>
    <w:rsid w:val="000873A6"/>
    <w:rsid w:val="00094782"/>
    <w:rsid w:val="000D485D"/>
    <w:rsid w:val="00157104"/>
    <w:rsid w:val="00184643"/>
    <w:rsid w:val="001C2C41"/>
    <w:rsid w:val="001D5567"/>
    <w:rsid w:val="00267AC5"/>
    <w:rsid w:val="002E3A11"/>
    <w:rsid w:val="002F23E0"/>
    <w:rsid w:val="002F3034"/>
    <w:rsid w:val="00311B47"/>
    <w:rsid w:val="00335ACA"/>
    <w:rsid w:val="00372C99"/>
    <w:rsid w:val="0037609E"/>
    <w:rsid w:val="0039738C"/>
    <w:rsid w:val="004E7432"/>
    <w:rsid w:val="00600D5B"/>
    <w:rsid w:val="00635A21"/>
    <w:rsid w:val="00697004"/>
    <w:rsid w:val="006F3FE1"/>
    <w:rsid w:val="00723FBF"/>
    <w:rsid w:val="007406B0"/>
    <w:rsid w:val="008515FA"/>
    <w:rsid w:val="008853D2"/>
    <w:rsid w:val="00980172"/>
    <w:rsid w:val="009C01B0"/>
    <w:rsid w:val="00B0366A"/>
    <w:rsid w:val="00B3787D"/>
    <w:rsid w:val="00C47A0D"/>
    <w:rsid w:val="00C715C0"/>
    <w:rsid w:val="00C9451E"/>
    <w:rsid w:val="00CA591B"/>
    <w:rsid w:val="00CC2BB9"/>
    <w:rsid w:val="00D5136D"/>
    <w:rsid w:val="00E44FE0"/>
    <w:rsid w:val="00E61A67"/>
    <w:rsid w:val="00EE0C6F"/>
    <w:rsid w:val="00F228DD"/>
    <w:rsid w:val="00F26902"/>
    <w:rsid w:val="00F32382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B80D-15EB-45C8-9B8A-435EC15A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A0D"/>
    <w:rPr>
      <w:color w:val="0000FF"/>
      <w:u w:val="single"/>
    </w:rPr>
  </w:style>
  <w:style w:type="paragraph" w:styleId="Ingetavstnd">
    <w:name w:val="No Spacing"/>
    <w:uiPriority w:val="1"/>
    <w:qFormat/>
    <w:rsid w:val="00C47A0D"/>
    <w:pPr>
      <w:spacing w:after="0" w:line="240" w:lineRule="auto"/>
    </w:pPr>
  </w:style>
  <w:style w:type="table" w:styleId="Tabellrutnt">
    <w:name w:val="Table Grid"/>
    <w:basedOn w:val="Normaltabell"/>
    <w:uiPriority w:val="39"/>
    <w:rsid w:val="00C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afsson@gmx.f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2015-08-11T05:43:00Z</dcterms:created>
  <dcterms:modified xsi:type="dcterms:W3CDTF">2015-08-11T05:43:00Z</dcterms:modified>
</cp:coreProperties>
</file>